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ind w:firstLine="643" w:firstLineChars="200"/>
        <w:jc w:val="center"/>
        <w:rPr>
          <w:rFonts w:hint="eastAsia" w:ascii="宋体" w:hAnsi="宋体"/>
          <w:b/>
          <w:color w:val="auto"/>
          <w:sz w:val="32"/>
          <w:szCs w:val="32"/>
        </w:rPr>
      </w:pPr>
    </w:p>
    <w:p>
      <w:pPr>
        <w:snapToGrid w:val="0"/>
        <w:spacing w:line="360" w:lineRule="auto"/>
        <w:jc w:val="center"/>
        <w:outlineLvl w:val="0"/>
        <w:rPr>
          <w:rFonts w:hint="default" w:ascii="宋体" w:hAnsi="宋体" w:eastAsia="宋体" w:cs="Times New Roman"/>
          <w:b/>
          <w:color w:val="auto"/>
          <w:sz w:val="36"/>
          <w:szCs w:val="36"/>
          <w:highlight w:val="none"/>
          <w:lang w:val="en-US" w:eastAsia="zh-CN"/>
        </w:rPr>
      </w:pPr>
      <w:r>
        <w:rPr>
          <w:rFonts w:hint="eastAsia" w:ascii="宋体" w:hAnsi="宋体" w:eastAsia="宋体" w:cs="Times New Roman"/>
          <w:b/>
          <w:color w:val="auto"/>
          <w:sz w:val="36"/>
          <w:szCs w:val="36"/>
          <w:highlight w:val="none"/>
        </w:rPr>
        <w:t>广州白云国际机场三期扩建工程</w:t>
      </w:r>
      <w:r>
        <w:rPr>
          <w:rFonts w:hint="eastAsia" w:ascii="宋体" w:hAnsi="宋体" w:eastAsia="宋体" w:cs="Times New Roman"/>
          <w:b/>
          <w:color w:val="auto"/>
          <w:sz w:val="36"/>
          <w:szCs w:val="36"/>
          <w:highlight w:val="none"/>
          <w:lang w:val="en-US" w:eastAsia="zh-CN"/>
        </w:rPr>
        <w:t>配套供冷工程</w:t>
      </w:r>
    </w:p>
    <w:p>
      <w:pPr>
        <w:snapToGrid w:val="0"/>
        <w:spacing w:line="360" w:lineRule="auto"/>
        <w:jc w:val="center"/>
        <w:outlineLvl w:val="0"/>
        <w:rPr>
          <w:rFonts w:hint="eastAsia" w:ascii="宋体" w:hAnsi="宋体" w:eastAsia="宋体" w:cs="Times New Roman"/>
          <w:b/>
          <w:color w:val="auto"/>
          <w:sz w:val="36"/>
          <w:szCs w:val="36"/>
          <w:highlight w:val="none"/>
        </w:rPr>
      </w:pPr>
      <w:r>
        <w:rPr>
          <w:rFonts w:hint="eastAsia" w:ascii="宋体" w:hAnsi="宋体" w:eastAsia="宋体" w:cs="Times New Roman"/>
          <w:b/>
          <w:color w:val="auto"/>
          <w:sz w:val="36"/>
          <w:szCs w:val="36"/>
          <w:highlight w:val="none"/>
        </w:rPr>
        <w:t>工程量清单编制说明</w:t>
      </w:r>
    </w:p>
    <w:p>
      <w:pPr>
        <w:pStyle w:val="2"/>
        <w:rPr>
          <w:rFonts w:hint="eastAsia"/>
        </w:rPr>
      </w:pPr>
    </w:p>
    <w:p>
      <w:pPr>
        <w:pStyle w:val="21"/>
        <w:tabs>
          <w:tab w:val="left" w:pos="0"/>
          <w:tab w:val="left" w:pos="210"/>
          <w:tab w:val="left" w:pos="420"/>
        </w:tabs>
        <w:snapToGrid w:val="0"/>
        <w:spacing w:line="360" w:lineRule="auto"/>
        <w:ind w:firstLine="422" w:firstLineChars="200"/>
        <w:outlineLvl w:val="0"/>
        <w:rPr>
          <w:rFonts w:hint="eastAsia" w:ascii="宋体" w:hAnsi="宋体" w:eastAsia="宋体" w:cs="Times New Roman"/>
          <w:b/>
          <w:bCs/>
          <w:color w:val="auto"/>
          <w:kern w:val="2"/>
          <w:sz w:val="21"/>
          <w:szCs w:val="21"/>
          <w:highlight w:val="none"/>
          <w:lang w:val="en-US" w:eastAsia="zh-CN" w:bidi="ar-SA"/>
        </w:rPr>
      </w:pPr>
      <w:r>
        <w:rPr>
          <w:rFonts w:hint="eastAsia" w:ascii="宋体" w:hAnsi="宋体" w:eastAsia="宋体" w:cs="Times New Roman"/>
          <w:b/>
          <w:bCs/>
          <w:color w:val="auto"/>
          <w:kern w:val="2"/>
          <w:sz w:val="21"/>
          <w:szCs w:val="21"/>
          <w:highlight w:val="none"/>
          <w:lang w:val="en-US" w:eastAsia="zh-CN" w:bidi="ar-SA"/>
        </w:rPr>
        <w:t>一、工程概况</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bookmarkStart w:id="0" w:name="_Toc262170258"/>
      <w:r>
        <w:rPr>
          <w:rFonts w:hint="eastAsia" w:ascii="宋体" w:hAnsi="宋体" w:eastAsia="宋体" w:cs="Times New Roman"/>
          <w:b w:val="0"/>
          <w:bCs w:val="0"/>
          <w:color w:val="auto"/>
          <w:kern w:val="2"/>
          <w:sz w:val="21"/>
          <w:szCs w:val="21"/>
          <w:highlight w:val="none"/>
          <w:lang w:val="en-US" w:eastAsia="zh-CN" w:bidi="ar-SA"/>
        </w:rPr>
        <w:t>见招标文件。</w:t>
      </w:r>
    </w:p>
    <w:bookmarkEnd w:id="0"/>
    <w:p>
      <w:pPr>
        <w:pStyle w:val="21"/>
        <w:tabs>
          <w:tab w:val="left" w:pos="0"/>
          <w:tab w:val="left" w:pos="210"/>
          <w:tab w:val="left" w:pos="420"/>
        </w:tabs>
        <w:snapToGrid w:val="0"/>
        <w:spacing w:line="360" w:lineRule="auto"/>
        <w:ind w:firstLine="422" w:firstLineChars="200"/>
        <w:outlineLvl w:val="0"/>
        <w:rPr>
          <w:rFonts w:hint="eastAsia" w:ascii="宋体" w:hAnsi="宋体" w:eastAsia="宋体" w:cs="Times New Roman"/>
          <w:b/>
          <w:bCs/>
          <w:color w:val="auto"/>
          <w:kern w:val="2"/>
          <w:sz w:val="21"/>
          <w:szCs w:val="21"/>
          <w:highlight w:val="none"/>
          <w:lang w:val="en-US" w:eastAsia="zh-CN" w:bidi="ar-SA"/>
        </w:rPr>
      </w:pPr>
      <w:r>
        <w:rPr>
          <w:rFonts w:hint="eastAsia" w:ascii="宋体" w:hAnsi="宋体" w:eastAsia="宋体" w:cs="Times New Roman"/>
          <w:b/>
          <w:bCs/>
          <w:color w:val="auto"/>
          <w:kern w:val="2"/>
          <w:sz w:val="21"/>
          <w:szCs w:val="21"/>
          <w:highlight w:val="none"/>
          <w:lang w:val="en-US" w:eastAsia="zh-CN" w:bidi="ar-SA"/>
        </w:rPr>
        <w:t>二、招标范围</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见招标文件。</w:t>
      </w:r>
    </w:p>
    <w:p>
      <w:pPr>
        <w:pStyle w:val="21"/>
        <w:tabs>
          <w:tab w:val="left" w:pos="0"/>
          <w:tab w:val="left" w:pos="210"/>
          <w:tab w:val="left" w:pos="420"/>
        </w:tabs>
        <w:snapToGrid w:val="0"/>
        <w:spacing w:line="360" w:lineRule="auto"/>
        <w:ind w:firstLine="422" w:firstLineChars="200"/>
        <w:outlineLvl w:val="0"/>
        <w:rPr>
          <w:rFonts w:hint="eastAsia" w:ascii="宋体" w:hAnsi="宋体" w:eastAsia="宋体" w:cs="Times New Roman"/>
          <w:b/>
          <w:bCs/>
          <w:color w:val="auto"/>
          <w:kern w:val="2"/>
          <w:sz w:val="21"/>
          <w:szCs w:val="21"/>
          <w:highlight w:val="none"/>
          <w:lang w:val="en-US" w:eastAsia="zh-CN" w:bidi="ar-SA"/>
        </w:rPr>
      </w:pPr>
      <w:r>
        <w:rPr>
          <w:rFonts w:hint="eastAsia" w:ascii="宋体" w:hAnsi="宋体" w:eastAsia="宋体" w:cs="Times New Roman"/>
          <w:b/>
          <w:bCs/>
          <w:color w:val="auto"/>
          <w:kern w:val="2"/>
          <w:sz w:val="21"/>
          <w:szCs w:val="21"/>
          <w:highlight w:val="none"/>
          <w:lang w:val="en-US" w:eastAsia="zh-CN" w:bidi="ar-SA"/>
        </w:rPr>
        <w:t>三、编制依据</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1.《建设工程工程量清单计价规范》（GB50500-2013）。</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2.《房屋建筑与装饰工程工程量计算规范》（GB50854-2013）、《通用安装工程工程量计算规范》（GB50856-2013）、《市政工程工程量计算规范》（GB50857-2013）、《关于实施&lt;房屋建筑与装饰工程工程量计算规范&gt;（GB50854-2013）等的若干意见》（粤建造发〔2013〕4号）、《关于贯彻&lt;市政工程工程量计算规范&gt;（GB50857-2013）的实施意见》(粤建造发〔2014〕3号）、《关于贯彻&lt;通用安装工程工程量计算规范&gt;（GB50856-2013）的实施意见》（粤建造发〔2014〕4号）。</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3.《广东省建设工程计价依据（2018）》，包括《广东省房屋建筑与装饰工程综合定额（2018）》、《广东省市政工程综合定额（2018）》、《广东省通用安装工程综合定额（2018）》、《广东省园林绿化工程综合定额（2018）》、《广东省建设工程施工机具台班费用编制规则（2018）》。</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4.《广东省住房和城乡建设厅关于调整广东省建设工程计价依据增值税税率的通知》（粤建标函〔2019〕819号）。</w:t>
      </w:r>
    </w:p>
    <w:p>
      <w:pPr>
        <w:pStyle w:val="21"/>
        <w:tabs>
          <w:tab w:val="left" w:pos="0"/>
          <w:tab w:val="left" w:pos="210"/>
          <w:tab w:val="left" w:pos="420"/>
        </w:tabs>
        <w:snapToGrid w:val="0"/>
        <w:spacing w:line="360" w:lineRule="auto"/>
        <w:ind w:firstLine="420" w:firstLineChars="200"/>
        <w:outlineLvl w:val="1"/>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5.招标图纸：</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①广州白云国际机场三期扩建配套供冷工程结构专业施工图（版本：V1.0，日期：2023.10.15）；</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②广州白云国际机场三期扩建配套供冷工程建筑专业施工图（版本：V1.0，日期：2023.10.15）；</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③广州白云国际机场三期扩建配套供冷工程空调专业施工图（版本：V1.0，日期：2023.10.15）；</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④广州白云国际机场三期扩建配套供冷工程电气专业施工图（版本：V1.0，日期：2023.10.15）；</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⑤广州白云国际机场三期扩建配套供冷工程给排水专业施工图（版本：V1.0，日期：2023.10.15）；</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⑥广州白云国际机场三期扩建配套供冷工程智能化专业施工图（版本：V1.0，日期：2023.10.15）。</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6.《广州市建设工程造价管理站关于发布2023年9月份广州市建设工程价格信息及有关计价办法的通知》（穗建造价〔2023〕99号）。</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7.《关于发布我省房屋建筑和市政基础设施工程人工价格指数和台班价格指数的通知》（粤标定函〔2022〕117 号）。</w:t>
      </w:r>
    </w:p>
    <w:p>
      <w:pPr>
        <w:pStyle w:val="21"/>
        <w:tabs>
          <w:tab w:val="left" w:pos="0"/>
          <w:tab w:val="left" w:pos="210"/>
          <w:tab w:val="left" w:pos="420"/>
        </w:tabs>
        <w:snapToGrid w:val="0"/>
        <w:spacing w:line="360" w:lineRule="auto"/>
        <w:ind w:firstLine="420" w:firstLineChars="200"/>
        <w:outlineLvl w:val="1"/>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8.国家相关法规及省市有关计费、计价文件规定。</w:t>
      </w:r>
    </w:p>
    <w:p>
      <w:pPr>
        <w:pStyle w:val="21"/>
        <w:tabs>
          <w:tab w:val="left" w:pos="0"/>
          <w:tab w:val="left" w:pos="210"/>
          <w:tab w:val="left" w:pos="420"/>
        </w:tabs>
        <w:snapToGrid w:val="0"/>
        <w:spacing w:line="360" w:lineRule="auto"/>
        <w:ind w:firstLine="422" w:firstLineChars="200"/>
        <w:outlineLvl w:val="0"/>
        <w:rPr>
          <w:rFonts w:hint="eastAsia" w:ascii="宋体" w:hAnsi="宋体" w:eastAsia="宋体" w:cs="Times New Roman"/>
          <w:b/>
          <w:bCs/>
          <w:color w:val="auto"/>
          <w:kern w:val="2"/>
          <w:sz w:val="21"/>
          <w:szCs w:val="21"/>
          <w:highlight w:val="none"/>
          <w:lang w:val="en-US" w:eastAsia="zh-CN" w:bidi="ar-SA"/>
        </w:rPr>
      </w:pPr>
      <w:r>
        <w:rPr>
          <w:rFonts w:hint="eastAsia" w:ascii="宋体" w:hAnsi="宋体" w:eastAsia="宋体" w:cs="Times New Roman"/>
          <w:b/>
          <w:bCs/>
          <w:color w:val="auto"/>
          <w:kern w:val="2"/>
          <w:sz w:val="21"/>
          <w:szCs w:val="21"/>
          <w:highlight w:val="none"/>
          <w:lang w:val="en-US" w:eastAsia="zh-CN" w:bidi="ar-SA"/>
        </w:rPr>
        <w:t>四、其他说明</w:t>
      </w:r>
    </w:p>
    <w:p>
      <w:pPr>
        <w:pStyle w:val="21"/>
        <w:tabs>
          <w:tab w:val="left" w:pos="0"/>
          <w:tab w:val="left" w:pos="210"/>
          <w:tab w:val="left" w:pos="420"/>
        </w:tabs>
        <w:snapToGrid w:val="0"/>
        <w:spacing w:line="360" w:lineRule="auto"/>
        <w:ind w:firstLine="420" w:firstLineChars="200"/>
        <w:outlineLvl w:val="1"/>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（一）总则</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工程量清单由分部分项工程量清单、措施项目清单、其他项目清单和税金组成。投标人投标时应结合招标文件、合同条款、技术规范及图纸报价，投标人对比招标施工图发现招标清单有缺漏项、招标清单项目特征描述不全或描述与图纸、技术规范不符、控制价综合单价组成存在缺漏、材料设备价格存在与市场严重偏差，应在答疑时提出，未在招标答疑提出视为在报价时已综合考虑上述因素，除设计变更变化费用外，其余在结算时不予计算。答疑时发包人回复不予调整的，结算时不予计算，相关费用由投标人综合考虑在报价中。（注解：①清单有开项的，结算可以根据图纸调整工程量，单价不调整；②招标施工图有体现但清单未开项的且答疑未提出，结算是不增加相应费用；③设计变更、签证、材料调差、税金调整等执行合同约定等。）</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2.本项目承包方式见合同专用条款。</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3.合同价格在合同执行过程中发生下列情况，结算做相应调整：</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（1）因发包人增加额外或减少原有需求，承包范围发生变化，导致增减工作内容或工程量；</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（2）设计标准发生变化；因发包人原因发生的设计变更；</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（3）工程量产生变化；</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（4）在合同执行期间，因国家省市政策调整导致税金的费（税）率发生变化。</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4.采用综合单价项目，结算量据实计算。投标人在报价时应严格按照工程量清单中的工程量报价，工程量不允许调整。如投标人提交的报价文件中的工程量与招标清单工程量不一致，发包人有权在评标时按招标清单工程量对投标文件工程量及报价进行修正，修正后的报价为评标价。中标价的确定执行招标文件规定。</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5.中标价包括施工期内招标文件中要求承担的风险内容和范围、上级政府及当地政府现行规定的应缴纳的各种税收和费用（包含但不限于资源税、增值税、个人所得税等）、管理费、利润、其他保护措施及自然灾害等因素。未报价的项目则视为该项费用已含在相关项目的综合单价和合价内。投标人在报价时应充分考虑各种施工可能出现的风险因素。</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6.工程量清单中开列的工程量的工作内容包含：①清单计量规范规定的工作内容，项目名称及项目特征描述的工作内容；②《建设工程工程量清单计价规范》（GB50500-2013）、《广东省建设工程计价依据（2018）》中规定的工作内容；③除①②外完成本工程需要的其他工作内容（结合施工组织设计）。工程量清单项目中【项目特征】的描述须与本说明和规定共同使用。工程量清单项目中的综合单价除包括上述内容外，还应结合招标文件、招标文件所附合同条款、图纸等技术文件、有关技术规范及标准、现场施工条件、施工组织设计及施工方案等阅读、理解并进行报价。</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7.工程量清单中开列清单项目的工程量计算规则，在清单项目名称及特征中有说明的按照该说明，无说明的按照清单计算规范执行。</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8.除非合同中另有约定，投标人在工程量清单中填入的单价或费用应为综合单价。所谓综合单价应被理解为单价或费用已包含投标人为完成合同工程所需的劳务、材料、机械、质检、安装、缺陷修复、管理费、利润以及招标文件及合同中约定包含的风险费用、责任和义务等。</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9.投标人应对工程量清单列出的每一清单项目均需填报单价和合价。对没有填入或填入为“0”的单价与合价项目，则视为该项费用已含在其他工程量报价清单中的综合单价与合价内，或被视为免费提供此项服务，今后不做调整。当清单项目计量单位为“项”时，则该清单项目的价款风险由投标单位承担，结算时不作调整，若此项目没有报价，该项目造价将被认为已包含在其它清单单价或价款中。</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10.工程量清单项目特征描述不符的情况：合同履行期间，任一项出现了办理变更手续后的施工设计图纸与招标阶段提供的图纸项目特征描述不符，且该变化引起工程造价增减事件，除合同另有约定外，合同双方当事人应调整合同价款。</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11.工程量清单表中的所有项目均需按照给定的格式做详细的单价构成分析。相同清单项目名称及项目特征描述可以只填报一个综合单价分析表，清单项目相同但所使用的主材不同的，则分别填报综合单价分析表。分部分项工程和单价措施项目清单与计价表中的综合单价须与综合单价分析表中的综合单价对应一致，否则结算时以较低的综合单价计算（合同包干部分按投标价结算）。</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12.投标人填入“开标一览表”中的“总报价”，必须与“建设项目投标报价汇总表”中各项费用的合计相一致。</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13.投标人所报的材料及设备单价均为到工地结算价，即包含采购费、包装费、运杂费及运输损耗、仓储保管费、装卸费、吊装费及场内多次转运费等。</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14.投标人所提供的电子文件必须能够打开，电子文件的内容必须按招标文件的要求格式填报，不得擅自调整格式及顺序，同时电子文件内容必须与纸质投标文件正本内容一致。</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15.发包人不组织投标人踏勘现场，投标人可自行前往现场考察，熟悉施工现场的地形、沟渠等情况，以获得可能影响投标报价的直接资料，所需发生的费用应在投标报价中综合考虑。投标人将一律被视为已确认所有现场条件，并预料到了可能发生的任何费用，招标结束后不得以不了解现场情况为由，提出投标报价以外的费用要求，对此发包人将不作考虑。考察现场的费用由投标人自己承担。</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16.发包人提供的施工现场资料和数据，只是为了使投标人能够利用发包人现有的资料。发包人对投标人由此而作出的推论、理解和结论概不负责。</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17.承包人应对施工现场进行充分考察，了解工程所在地点的水源、电源接驳点等情况，并承担自该水源、电源接驳点接至施工和生活区范围内水管、电力线路的修建、恢复等过程所发生的一切费用，所需费用在投标报价内综合考虑，结算时不作调整；由于现场条件可能发生变化而采取自发电和自供水的情况，自发电和自供水所使用的人工、机械、材料和其他费用，相关费用由投标人在投标报价中综合考虑，除合同另有约定外，结算时不作调整。</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18.临时排水：本工程施工期间,中标单位应负责施工期间场区内临时排水系统规划、修建（综合考虑地形、标高等环境影响），临时排水系统应满足施工期间排水顺畅的要求，并应充分考虑施工期间临时排水系统多次修建、拆除、再修建等重复工作。可利用场区新老沟渠自行排除并确保排水畅通，施工排水进入发包人指定地点时（现场沟渠、或者机场红线边排水点）必须采取沉淀降砂等措施并定期清理沉砂。由于本工程施工而影响其它单位的正常排水,或者引起周边村庄农民和政府部门的投诉，或者引起其他单位修筑的设施遭到破坏，应由投标人负责修复、处理纠纷和赔偿相应费用。在永久排水系统贯通后，方能拆除临时排水系统及措施，将相关区域恢复满足发包人验收要求。投标人应在投标报价中考虑以上因素，所需费用综合考虑到投标报价相应的措施费内，中标后不对此项费用进行任何签证处理。</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19.投标人需协助办理工程开工、验收、竣工等所需的各项相关手续，包括但不限于施工许可证（或临时施工许可证）、报建手续、余泥排放证、排污手续、排水接驳、水质检测、排水许可证、排污口规范化、噪音排放、环保检测、环保验收、消防验收、水保监测、水保验收、人防验收、防雷验收、节能备案及验收、竣工验收备案,并承担办理上述手续中需投标人承担的费用（负责协调施工过程中的相关职能部门、其他施工单位及周边影响项目开发进展的单位、公司和居民，包括且不限于：街道居委、公安派出所、交通部门、消防部门、质安监、城管、建管、地保办等），投标人应在投标报价中考虑以上因素，所需费用综合考虑到投标报价内，中标后不对此项费用进行任何签证处理。</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20.投标人必须负责所承包范围工程的竣工资料的收集整理工作，包括协调其他分包单位竣工资料及时归档至投标人竣工资料内，竣工验收时一并移交当地政府部门，并按发包人要求移交发包人，投标人应在投标报价中考虑这一因素，所需费用综合考虑到投标报价内，中标后不对此项费用进行任何签证处理。</w:t>
      </w:r>
    </w:p>
    <w:p>
      <w:pPr>
        <w:pStyle w:val="21"/>
        <w:tabs>
          <w:tab w:val="left" w:pos="0"/>
          <w:tab w:val="left" w:pos="210"/>
          <w:tab w:val="left" w:pos="420"/>
        </w:tabs>
        <w:snapToGrid w:val="0"/>
        <w:spacing w:line="360" w:lineRule="auto"/>
        <w:ind w:firstLine="420" w:firstLineChars="200"/>
        <w:outlineLvl w:val="2"/>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21.投标人在报价中应综合考虑如下情况：</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综合单价中应包含不同构件交接处混凝土强度存在等级差时，出现的高标号混凝土区向低标号混凝土区、抗渗混凝土区向普通混凝土区扩散、混凝土早强剂、缓凝剂、膨胀剂、防水剂等各种添加剂满足规范、设计要求等增加的费用。</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（2）考虑场地移交后，由于自身施工组织方案调整或者其他标段单位在场区内因管线埋设、基础开挖等原因造成的土面二次平整费用，投标人在投标报价中综合考虑，中标后不对此项费用进行任何签证处理。</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（3）综合单价中应包含混凝土试件植入芯片的费用。</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4）主要设备材料的自检费用、提供给发包人委托的第三方检测的材料费用、配合第三方材料检测产生的费用（如原材料送检等）、钻芯等检测后工程实体的修复费用由投标人在投标报价中综合考虑，除合同另有约定外，结算时不作调整。</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（5）本项目如需现场堆土，需要做好防护措施，相应保护措施费用在投标报价内综合考虑。</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（6）施工范围内若存在需迁移或保护的树木，施工时应予以避让或做好施工期间树木保护措施，确保树木存活，由此产生的费用由投标人综合考虑在投标报价内，除合同另有约定外，结算时不作调整。</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7）施工用水、电的单价除考虑供电局或广州市造价站发布的价格以外，由机场相关部门收取的公共成本分摊费由投标人综合考虑在投标报价内，结算时按投标水、电单价计算，除合同另有约定外，结算不作调整。</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（8）新冠疫情防控费用：投标人须按国家、省、市政府及机场管理相关规定严格落实疫情防控工作，由此产生的疫情防控费由投标人综合考虑在投标报价内，除合同另有约定外，结算时不作调整。</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（9）投标人需配合机场红线内围蔽进入口的管理，所需费用在投标报价内考虑。</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（10）承包人各种试验、测量、检测设备或现场实验室等由投标人在投标报价中综合考虑，除合同另有约定外，结算不作调整。</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（11）本项目所用的甲供、乙供设备如在运输过程中，需新建设备运输通道，所发生的一系列费用由投标人在投标报价中综合考虑，除合同另有约定外，结算不作调整。</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（12）施工范围的污水排到场外需满足招标文件、设计、规范、政府及机场相关管理部门等文件的要求，由投标人在投标报价中综合考虑，除合同另有约定外，结算不作调整。</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13）施工场地内及指定堆土点均禁止裸露泥地，对于临时泥地、土地应采用防尘网、碎石覆盖，或种植速生植物绿化，做到边施工、边覆盖、边绿化。由投标人在投标报价中综合考虑，除合同另有约定外，结算不作调整。</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（14）建筑超高降效费由投标人在投标报价中综合考虑，除合同另有约定外，结算不予调整。</w:t>
      </w:r>
    </w:p>
    <w:p>
      <w:pPr>
        <w:pStyle w:val="21"/>
        <w:tabs>
          <w:tab w:val="left" w:pos="0"/>
          <w:tab w:val="left" w:pos="210"/>
          <w:tab w:val="left" w:pos="420"/>
        </w:tabs>
        <w:snapToGrid w:val="0"/>
        <w:spacing w:line="360" w:lineRule="auto"/>
        <w:ind w:firstLine="420" w:firstLineChars="200"/>
        <w:outlineLvl w:val="1"/>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（二）分部分项工程</w:t>
      </w:r>
    </w:p>
    <w:p>
      <w:pPr>
        <w:pStyle w:val="21"/>
        <w:tabs>
          <w:tab w:val="left" w:pos="0"/>
          <w:tab w:val="left" w:pos="210"/>
          <w:tab w:val="left" w:pos="420"/>
        </w:tabs>
        <w:snapToGrid w:val="0"/>
        <w:spacing w:line="360" w:lineRule="auto"/>
        <w:ind w:firstLine="420" w:firstLineChars="200"/>
        <w:outlineLvl w:val="2"/>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1.土石方工程</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1.1工程量清单报价应综合考虑地质（土石方类型、比例、压实系数）和水文条件、地形平面与坡度、地表环境、建（构）筑物及地下管线埋深等各种因素。除合同另有约定外，结算时均以施工图纸相关内容为准，不因上述原因调整综合单价。</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 xml:space="preserve">1.2中标人进场后，发包人和监理不组织对原地面标高进行复测，也不认可施工单位自行复测的结果，本项目土石方工程量计算以设计单位正式提供的施工图纸（场地平整图、土方计算图等）标高为依据。除非有证据证明原地面地形地貌有较大变化，实际标高与设计所依据的地形图标高相比有较大差别的情况下，可由中标人书面提出、由监理组织联合测量，报设计出具变更文件。  </w:t>
      </w:r>
    </w:p>
    <w:p>
      <w:pPr>
        <w:pStyle w:val="21"/>
        <w:tabs>
          <w:tab w:val="left" w:pos="0"/>
          <w:tab w:val="left" w:pos="210"/>
          <w:tab w:val="left" w:pos="420"/>
        </w:tabs>
        <w:snapToGrid w:val="0"/>
        <w:spacing w:line="360" w:lineRule="auto"/>
        <w:ind w:firstLine="420" w:firstLineChars="200"/>
        <w:outlineLvl w:val="3"/>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1.3土石方工程量结算原则：</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①顶面标高按本说明第1.2条约定计算，开挖后用于回填的土方现场合理堆放，其余土方运至符合政府规定的弃置点。平整场地、地势土方不考虑放坡；基坑和沟槽土方侧面放坡如有设计图纸，按设计图纸；如无设计图纸，土方工作面、放坡起点（如有）按定额规定中三类土计算，两侧放坡系数按定额规定；底面标高按设计要求的实际开挖标高；全部土石方工程量结算按上述顶、底、侧面围合体积计量。投标人可根据自身的施工技术能力优化基坑开挖形式，但放坡系数不因方式变更或其他因素调整。管沟土方侧面放坡如有设计图纸，按设计图纸；如无设计图纸，土方工作面、放坡起点（如有）按定额规定中三类土计算，两侧放坡系数按0.67包干计量；底面标高按设计要求的实际开挖标高；全部土石方工程量结算按上述顶、底、侧面围合体积计</w:t>
      </w:r>
      <w:r>
        <w:rPr>
          <w:rFonts w:hint="eastAsia" w:ascii="宋体" w:hAnsi="宋体" w:eastAsia="宋体" w:cs="Times New Roman"/>
          <w:b w:val="0"/>
          <w:bCs w:val="0"/>
          <w:color w:val="auto"/>
          <w:kern w:val="2"/>
          <w:sz w:val="21"/>
          <w:szCs w:val="21"/>
          <w:highlight w:val="none"/>
          <w:lang w:val="en-US" w:eastAsia="zh-CN" w:bidi="ar-SA"/>
        </w:rPr>
        <w:tab/>
      </w:r>
      <w:r>
        <w:rPr>
          <w:rFonts w:hint="eastAsia" w:ascii="宋体" w:hAnsi="宋体" w:eastAsia="宋体" w:cs="Times New Roman"/>
          <w:b w:val="0"/>
          <w:bCs w:val="0"/>
          <w:color w:val="auto"/>
          <w:kern w:val="2"/>
          <w:sz w:val="21"/>
          <w:szCs w:val="21"/>
          <w:highlight w:val="none"/>
          <w:lang w:val="en-US" w:eastAsia="zh-CN" w:bidi="ar-SA"/>
        </w:rPr>
        <w:t>量。投标人可根据自身的施工技术能力优化基坑开挖形式，但放坡系数不因方式变更或其他因素调整。</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②土方工程中土壤类别是将土石方类别、干湿土、淤泥、软土、建筑垃圾、石块等综合考虑的，综合单价结算时不作调整。土石方、淤泥的开挖方式（人工、机械或人机配合，爆破作业除外）和运输方式（上坡降效、水平运输、垂直运输、转堆、转运等），请投标人综合考虑在报价内，综合单价结算时不作调整。</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1.4本项目的场地平整已由其他标段完成，本项目不再单独计算场地平整费用，本项目土石方工程的挖填运标高均按场地平整后的设计图纸标高计算。</w:t>
      </w:r>
    </w:p>
    <w:p>
      <w:pPr>
        <w:pStyle w:val="21"/>
        <w:tabs>
          <w:tab w:val="left" w:pos="0"/>
          <w:tab w:val="left" w:pos="210"/>
          <w:tab w:val="left" w:pos="420"/>
        </w:tabs>
        <w:snapToGrid w:val="0"/>
        <w:spacing w:line="360" w:lineRule="auto"/>
        <w:ind w:firstLine="420" w:firstLineChars="200"/>
        <w:outlineLvl w:val="2"/>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2.基坑支护及桩基础工程</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2.1声测管及抽芯管埋设：本工程声测管及抽芯管埋设若由于施工单位原因造成无法检测或更改检测方式的，由此造成增加的检测费用由投标人承担并在结算时扣除。</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2.2灌注桩及支护桩机械成孔方式：灌注桩及支护桩施工应按招标文件及施工图纸的要求，综合考虑采用各种施工机械、施工工艺及工法(包括根据招标人要求采用全套管全回转钻机钻孔)，由投标人综合考虑在投标综合单价内，不另调整。</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2.4泥浆池（槽）砌筑及拆除费用：按招标文件及相关规范要求设置泥浆池及泥浆池拆除费用由投标人在投标报价中综合考虑，不单独列项。</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2.5围护结构、桩基础、土石方工程的施工顺序应按照招标文件和施工图纸相关要求执行，投标人自行调整施工顺序导致的空桩等项目增加工程量，结算时不予计量。</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2.6空桩计量说明：未开挖基坑土方前施工的桩，则空桩长度按本项目平整场地后标高至设计桩顶标高（设计桩顶标高不包括浮浆段）计算；已开挖基坑土方后施工的桩，则空桩长度按开挖后地面标高至设计桩顶标高（设计桩顶标高不包括浮浆段）计算。空桩长度按批复的施工方案与桩记录中的较小值计算。</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2.7桩长计量规则：结算工程量按设计桩长计算，设计桩长指设计桩顶标高（不包括浮浆段高度）至实际桩底标高。如出现灌注桩（试验桩除外）钻芯检测揭露总长度短于现场施工记录且平均短于50cm 以上时，以钻芯检测长度为准对现场施工记录进行修正，结算桩长=（第三方钻芯揭露桩总长/第三方钻芯桩施工记录总长度）*全部桩施工记录长度。</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2.8泥浆处理：投标人应因地制宜制定桩基础的泥浆处理施工方案，泥浆处理必须满足招标文件绿色安全文明施工及政府相关要求，对于特殊区域桩基础施工应及时用泥浆罐车运输泥浆，泥浆处理相关费用由投标人在投标报价中综合考虑，不单列项。</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2.9施工单位原因出现偏桩、斜桩、断桩、塌孔等所导致的重复施工以及承台加大等增加费用均由投标人承担。</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2.10基础入岩增加费（工程桩）：按入岩达到设计要求持力层的全岩面标高（指桩径全截面入岩）至设计桩底标高（设计桩底标高按满足设计入岩长度最低值的桩底标高，当设计入岩长度要求为区间值时按最低值计算）以长度计算。全岩面持力层（指桩径全截面入岩）以上部位成孔过程中所遇的孤石、岩层、障碍物等处理增加费用综合考虑在灌注桩清单投标报价中，不另外计算。</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2.11泥浆护壁成孔灌注桩“截（凿）桩头”工程量按设计超灌注高度（设计为区间值时按最低值计算）乘以设计桩截面以体积计算，要求破碎验收的按清单描述计量规则执行。</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2.12本项目除按设计要求增加的超长桩桩底及桩侧压浆外，其他形式的桩底压浆视为投标人自行采取的施工质量保证措施，不另外增加费用。</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2.13本项目确定溶(土)洞处理范围时必须按设计要求查明土洞、溶洞分布状况,按经发包人、监理、设计确定的处理方案进行施工，所发生的溶洞处理工程量按实结算。</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2.14因场地地质条件或现场条件造成打桩机或其他大型机械在场内行走时需要换填或加固地面、加垫钢板等措施，相关费用由投标人综合考虑在投标报价内。</w:t>
      </w:r>
    </w:p>
    <w:p>
      <w:pPr>
        <w:pStyle w:val="21"/>
        <w:tabs>
          <w:tab w:val="left" w:pos="0"/>
          <w:tab w:val="left" w:pos="210"/>
          <w:tab w:val="left" w:pos="420"/>
        </w:tabs>
        <w:snapToGrid w:val="0"/>
        <w:spacing w:line="360" w:lineRule="auto"/>
        <w:ind w:firstLine="420" w:firstLineChars="200"/>
        <w:outlineLvl w:val="2"/>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3.混凝土及钢筋混凝土工程</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3.1现浇混凝土类清单的综合单价包括以下费用：混凝土泵送增加费，满足设计图纸及招标文件的施工缝处理（包括防水措施），混凝土试件植入芯片，超长超大超宽混凝土及大体积混凝土特殊降温和防止混凝土干缩、养护，特殊混凝土结构（如大体积混凝土、超长超大超宽混凝土、高性能混凝土、微膨胀混凝土、不同构件交接面混凝土等）在原材料、配合比、设计要求的混凝土外加剂、超细渗合料（硅粉、粉煤灰）防水渗合料钢纤维、</w:t>
      </w:r>
      <w:r>
        <w:rPr>
          <w:rFonts w:hint="eastAsia" w:ascii="宋体" w:hAnsi="宋体" w:eastAsia="宋体" w:cs="Times New Roman"/>
          <w:b w:val="0"/>
          <w:bCs w:val="0"/>
          <w:color w:val="auto"/>
          <w:kern w:val="2"/>
          <w:sz w:val="21"/>
          <w:szCs w:val="21"/>
          <w:highlight w:val="none"/>
          <w:lang w:val="en-US" w:eastAsia="zh-CN" w:bidi="ar-SA"/>
        </w:rPr>
        <w:tab/>
      </w:r>
      <w:r>
        <w:rPr>
          <w:rFonts w:hint="eastAsia" w:ascii="宋体" w:hAnsi="宋体" w:eastAsia="宋体" w:cs="Times New Roman"/>
          <w:b w:val="0"/>
          <w:bCs w:val="0"/>
          <w:color w:val="auto"/>
          <w:kern w:val="2"/>
          <w:sz w:val="21"/>
          <w:szCs w:val="21"/>
          <w:highlight w:val="none"/>
          <w:lang w:val="en-US" w:eastAsia="zh-CN" w:bidi="ar-SA"/>
        </w:rPr>
        <w:t>合成纤维、浇筑、养护等各方面为满足设计和规范要求所增加的费用。除合同另有约定外，结算时不作调整。混凝土预拌应满足《绿色建筑评价标准》GB/T 50378-2019的要求，全部选用有绿色建材认证的产品。</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3.2不同混凝土强度的梁柱板交界面：根据梁柱板设计的物理交接面，按照招标清单约定的计量规则计算梁柱板的工程量，在该交界区域按高标号浇筑的混凝土价差费用在投标报价内综合考虑。</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3.3基础垫层混凝土按设计图纸外扩尺寸计算，因施工方案或现场实际需要超过设计外扩的尺寸由投标人在报价内综合考虑。</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3.4钢筋类清单按设计图示长度乘单位理论质量计算。非设计及规范要求的焊接、搭接，电渣压力焊、机械连接以及马凳筋、梁垫铁、梁上预埋件加设锚筋等其它措施钢筋均由投标人在报价中考虑，结算时不再另行计算，综合开料、钢筋出厂长度等定尺原因造成的搭接处箍筋加密工程量不予计算。</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3.5劲性混凝土和桁架楼承板等的钢筋制安增加费及现浇劲性混凝土构件增加费均由投标人在报价中考虑，结算时不再另行计算。</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3.6钢筋、预应力钢绞线等用于检查、试样、试验等预留长度、采用连接器接长预应力筋由投标人在报价中考虑，结算时不再另行计算。</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3.7各类预应力钢筋混凝土结构和钢筋混凝土结构如需深化设计或专项设计的，深化设计或专项设计费用综合在报价中考虑，结算时不应采用方式变化和深化设计而调整综合单价。因深化设计和专项设计产生的工程量变化，未办理设计变更部分在投标报价内综合考虑。</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3.8因环境和施工要求，产生的保护层厚度外扩增加费用，相应费用在投标报价中综合考虑。结算时不再另行计算。</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3.9根据设计要求，预埋件最外侧锚筋在梁侧外和梁内（埋件锚筋与梁侧≤50mm时），需加宽砼梁及增加钢筋，增加的相关费用在投标报价中综合考虑。结算时不再另行计算。</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3.10钢筋类清单按设计图纸开项，抗震和非抗震钢筋（带E和不带E）由投标人在投标报价中综合考虑，结算时不因市场供需情况调整综合单价。</w:t>
      </w:r>
    </w:p>
    <w:p>
      <w:pPr>
        <w:pStyle w:val="21"/>
        <w:tabs>
          <w:tab w:val="left" w:pos="0"/>
          <w:tab w:val="left" w:pos="210"/>
          <w:tab w:val="left" w:pos="420"/>
        </w:tabs>
        <w:snapToGrid w:val="0"/>
        <w:spacing w:line="360" w:lineRule="auto"/>
        <w:ind w:firstLine="420" w:firstLineChars="200"/>
        <w:outlineLvl w:val="2"/>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4.砌筑工程</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4.1砂浆应满足《绿色建筑评价标准》GB/T 50378-2019的要求，全部选用有绿色建材认证的产品。</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4.2墙体上方如存在机电管线安装，需等待机电管线安装就位后再砌筑管线上方的墙体，由此产生的停工等待费、二次搭拆脚手架费用及构造柱处理增加费等，请投标人在报价中综合考虑，结算时不再另行计算。</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4.3室内混合砂浆抹灰时，墙、柱面及洞口阳角处的20mm厚DPM20水泥砂浆护角（每侧50mm宽），请投标人在报价中综合考虑，结算时不再另行计算。</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4.4装修做法表中不做水泥砂浆饰面的钢筋混凝土内墙面、独立柱及部分混凝土梁的表面打磨修补平整及表面蜂窝、麻面、气泡采用聚合物水泥砂浆修补等，请投标人在报价中综合考虑，结算时不再另行计算。</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4.5墙体砌筑及抹灰完成后立即沿所有墙身及柱体满弹建筑1米水平墨线，以供其他专业分包单位使用，请投标人在报价中综合考虑，结算时不再另行计算。</w:t>
      </w:r>
    </w:p>
    <w:p>
      <w:pPr>
        <w:pStyle w:val="21"/>
        <w:tabs>
          <w:tab w:val="left" w:pos="0"/>
          <w:tab w:val="left" w:pos="210"/>
          <w:tab w:val="left" w:pos="420"/>
        </w:tabs>
        <w:snapToGrid w:val="0"/>
        <w:spacing w:line="360" w:lineRule="auto"/>
        <w:ind w:firstLine="420" w:firstLineChars="200"/>
        <w:outlineLvl w:val="2"/>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5.钢结构工程</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5.1除设计另有注明外，所有锚栓、螺杆、销轴等均应进行符合设计和规范要求的热浸镀锌处理，镀锌厚度满足设计要求，相应费用在报价中综合考虑，结算时不再另行计算。</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5.2各种构件的场内、场外运输及装卸（包括因涂装、加工等原因发生的二次运输及装卸）、安装过程中的措施环均在报价中综合考虑，结算时不再另行计算。</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5.3钢结构施工应根据设计图纸结合现场施工条件进行工厂及现场预拼装并综合考虑吊拼装方案，不因吊拼装方式的变化而调整，请投标人在报价中综合考虑。</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5.4钢结构在风力较大采取的临时加固措施、防止金属表面光滑或高温、高空设置施工走道，和在吊装、安装过程中采取的加强措施，如替换结构杆件或加强结构杆件所增加的费用在投标报价中综合考虑，结算时不再另行计算。</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5.5所有栓钉、锚栓、螺杆、高强螺栓请投标人在对应综合单价内考虑报价，不另行计入清单工程量。所有栓钉、锚栓、螺杆、高强螺栓等均应进行符合设计和规范要求的防锈防腐处理，相应费用在报价中综合考虑，结算时不再另行计算。</w:t>
      </w:r>
    </w:p>
    <w:p>
      <w:pPr>
        <w:pStyle w:val="21"/>
        <w:tabs>
          <w:tab w:val="left" w:pos="0"/>
          <w:tab w:val="left" w:pos="210"/>
          <w:tab w:val="left" w:pos="420"/>
        </w:tabs>
        <w:snapToGrid w:val="0"/>
        <w:spacing w:line="360" w:lineRule="auto"/>
        <w:ind w:firstLine="420" w:firstLineChars="200"/>
        <w:outlineLvl w:val="2"/>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6.防水工程</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6.1防水处理及防水封堵：应满足设计图纸要求，有设计图示的按设计图示在分部分项工程内计算；没有设计图示，实际施工需满足设计图纸说明及相关规范要求，相应费用在投标报价中综合考虑，结算时不再另行计算。</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6.2金属防水层采用对接焊接法，每条拼缝应采用两条焊缝，所有焊缝都应进行真空泵试验，相应费用在投标报价中综合考虑。</w:t>
      </w:r>
    </w:p>
    <w:p>
      <w:pPr>
        <w:pStyle w:val="21"/>
        <w:tabs>
          <w:tab w:val="left" w:pos="0"/>
          <w:tab w:val="left" w:pos="210"/>
          <w:tab w:val="left" w:pos="420"/>
        </w:tabs>
        <w:snapToGrid w:val="0"/>
        <w:spacing w:line="360" w:lineRule="auto"/>
        <w:ind w:firstLine="420" w:firstLineChars="200"/>
        <w:outlineLvl w:val="2"/>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7.机电安装工程</w:t>
      </w:r>
    </w:p>
    <w:p>
      <w:pPr>
        <w:pStyle w:val="21"/>
        <w:tabs>
          <w:tab w:val="left" w:pos="0"/>
          <w:tab w:val="left" w:pos="210"/>
          <w:tab w:val="left" w:pos="420"/>
        </w:tabs>
        <w:snapToGrid w:val="0"/>
        <w:spacing w:line="360" w:lineRule="auto"/>
        <w:ind w:firstLine="420" w:firstLineChars="200"/>
        <w:outlineLvl w:val="3"/>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7.1.分部分项增加费</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7.1.1工程超高增加费：由投标人自行在对应的清单项中考虑；</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7.1.2在管井内、竖井内、断面小于或等于2m2隧道或洞内、封闭吊顶天棚内进行安装而增加的费用，由投标人自行在对应的清单项中考虑。</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7.2.桥架、线槽、管、线、电缆绕梁、柱、翻弯、预留及附加等工程量计算规则：</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7.2.1 桥架、线槽敷设及配管：清单工程量按设计图示尺寸以长度计算。绕梁、绕柱、绕管及其他翻弯处的长度由投标人在综合单价中自行考虑；</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7.2.2 电缆敷设：清单工程量按《通用安装工程工程量计算规范》（GB 50856-2013）约定按设计图示尺寸以长度计算，附表D.15.7-5所示的电缆敷设预留及附加长度计入清单工程量。绕梁、绕柱、绕管及其他翻弯处的长度由投标人在综合单价中自行考虑；</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7.2.3 配线：清单工程量按《通用安装工程工程量计算规范》（GB 50856-2013）约定按设计图示尺寸以单线长度计算，附表D.15.7-8所示的配线进入箱、柜、板的预留长度计入清单工程量。绕梁、绕柱、绕管及其他翻弯处的长度由投标人在综合单价中自行考虑。</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drawing>
          <wp:inline distT="0" distB="0" distL="114300" distR="114300">
            <wp:extent cx="6180455" cy="3951605"/>
            <wp:effectExtent l="0" t="0" r="6985" b="1079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6180455" cy="3951605"/>
                    </a:xfrm>
                    <a:prstGeom prst="rect">
                      <a:avLst/>
                    </a:prstGeom>
                    <a:noFill/>
                    <a:ln>
                      <a:noFill/>
                    </a:ln>
                  </pic:spPr>
                </pic:pic>
              </a:graphicData>
            </a:graphic>
          </wp:inline>
        </w:drawing>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drawing>
          <wp:inline distT="0" distB="0" distL="114300" distR="114300">
            <wp:extent cx="6185535" cy="2504440"/>
            <wp:effectExtent l="0" t="0" r="1905" b="1016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7"/>
                    <a:stretch>
                      <a:fillRect/>
                    </a:stretch>
                  </pic:blipFill>
                  <pic:spPr>
                    <a:xfrm>
                      <a:off x="0" y="0"/>
                      <a:ext cx="6185535" cy="2504440"/>
                    </a:xfrm>
                    <a:prstGeom prst="rect">
                      <a:avLst/>
                    </a:prstGeom>
                    <a:noFill/>
                    <a:ln>
                      <a:noFill/>
                    </a:ln>
                  </pic:spPr>
                </pic:pic>
              </a:graphicData>
            </a:graphic>
          </wp:inline>
        </w:drawing>
      </w:r>
    </w:p>
    <w:p>
      <w:pPr>
        <w:pStyle w:val="21"/>
        <w:tabs>
          <w:tab w:val="left" w:pos="0"/>
          <w:tab w:val="left" w:pos="210"/>
          <w:tab w:val="left" w:pos="420"/>
        </w:tabs>
        <w:snapToGrid w:val="0"/>
        <w:spacing w:line="360" w:lineRule="auto"/>
        <w:ind w:firstLine="420" w:firstLineChars="200"/>
        <w:outlineLvl w:val="3"/>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7.3.抗震支吊架</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7.3.1 抗震支吊架的种类（单管、多管、门式等）、材质、型号规格、安装形式（侧向、侧纵向）、设置范围、最大间距、抗震验算等需满足设计、招标文件、《建筑机电工抗震设计规范》（GB50981-2014）及其他相关规范的要求；</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7.3.2 抗震支吊架的费用在对应的风管、桥架、管道等综合单价中考虑（包括不限于需要进行抗震设防的设备、阀门、部件及管道附件），结算时不因深化设计原因调整综合单价，深化设计应满足招标文件、《建筑机电工抗震设计规范》（GB50981-2014）及其他相关规范的要求。</w:t>
      </w:r>
    </w:p>
    <w:p>
      <w:pPr>
        <w:pStyle w:val="21"/>
        <w:tabs>
          <w:tab w:val="left" w:pos="0"/>
          <w:tab w:val="left" w:pos="210"/>
          <w:tab w:val="left" w:pos="420"/>
        </w:tabs>
        <w:snapToGrid w:val="0"/>
        <w:spacing w:line="360" w:lineRule="auto"/>
        <w:ind w:firstLine="420" w:firstLineChars="200"/>
        <w:outlineLvl w:val="1"/>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（三）措施项目</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招标人提出的措施项目清单是根据一般情况所列，因此投标人在报价时，应根据本企业的实际情况和拟采用的施工方案，详细分析其所含的项目特征和工程内容，自行报价，投标人没有计算或少计算的费用，视为已包括在其他相关费用内。</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所有涉及本工程制作安装的措施项目费用，投标时承包人均应作充分考虑，承包人不能以现有提供的各种条件不满足运输、制作、起吊安装、堆放保管条件为由而要求签证。同时也不能以实际施工条件与招标时发生变化作为索赔任何费用的依据。措施费包括如下：</w:t>
      </w:r>
    </w:p>
    <w:p>
      <w:pPr>
        <w:pStyle w:val="21"/>
        <w:tabs>
          <w:tab w:val="left" w:pos="0"/>
          <w:tab w:val="left" w:pos="210"/>
          <w:tab w:val="left" w:pos="420"/>
        </w:tabs>
        <w:snapToGrid w:val="0"/>
        <w:spacing w:line="360" w:lineRule="auto"/>
        <w:ind w:firstLine="420" w:firstLineChars="200"/>
        <w:outlineLvl w:val="2"/>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1.绿色施工安全防护措施费</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1.1 绿色施工安全防护措施费是在现阶段建设施工过程中，为达到绿色施工和安全防护标准， 需实施实体工程之外的措施性项目而发生的费用，主要内容包括以下两个方面：1）按照国家现行的建筑施工安全、施工现场环境与卫生标准和有关规定，购置或更新施工安全防护用具及设施、改善安全生产条件和作业环境所需要的费用。2）在保证质量、安全等基本要求的前提下，项目实施中通过科学管理和技术进步，最大限度地节约资源，减少对环境影响，实现环境保护、节能与能源利用、节材与材料资源利用、节水与水资源利用、节地与土地资源保护，达到广东省《建筑工程绿色施工评价标准》所需要的措施性费用。具体包括两部分内容：</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1）按相关定额子目计算的绿色施工安全防护措施费，包含内容详见《广东省建设工程计价依据（2018）》。该费用由投标人在投标报价内综合考虑，除合同另有约定外，结算时不作调整。</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2）按系数计算的绿色施工安全防护措施费，具体内容包含但不限于：</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①绿色施工（施工管理、环境保护、节能与能源利用、节材与材料资源利用、节水与水资源利用、节地与施工用地保护、发展绿色施工“四新” 技术等）。环境保护费指施工现场为达到环保部门要求所需要的各项费用，包括：施工现场的各种粉尘、废气、废水、固定废弃物以及噪声、振动对环境的污染和危害的控制措施费用；噪声、振动的施工机械采取减轻噪声扰民的控制措施费用；除四害、预防传染性疾病的措施费用。</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②临时设施（现场办公生活设施、施工现场临时用电、施工现场临时用水设施、施工现场、临时设施维护及拆除等）。临时设施费指除现有公共临时设施以外的为完成本标段承包范围内施工管理而发生的承包人为进行建筑工程施工所必须搭设的生活和生产用的临时建筑物、构筑物和其他临时设施费用等，包括：临时宿舍、文化福利及公用事业房屋与构筑物，仓库、办公室、加工厂以及招标范围内水、电、管线等临时设施和小型临时设施、施工现场设置挡水坎等。临时设施费用包括临时设施的搭设、维修、拆除和摊销费，还包括因场地的实际使用情况而发生的二次或多次搬迁搭拆费用。工程竣工后，除发包人通知需移交给发包人外，承包人在接到发包人书面通知后的一星期内无条件拆除、恢复原状、清理场地并垃圾外运。现有公共临时设施的建设和维护、保养、保修由承包单位提供。投标单位应根据现场实际情况综合考虑进行报价。投标单位报价时应考虑折旧、回收摊销的费用。</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③安全施工（临边洞口交叉高处作业防护、保健急救措施、安全检测费用、施工机具防护等）。安全施工费指除现有外排栅、外脚手架以外的为完成本标段承包范围内施工管理而发生的施工现场安全施工所需的各项费用。包括：临边、洞口、交叉、高处作业及基坑支护栏杆安全防护费用，保健急救措施费用；安全帽、安全带、安全网及安全设施的检测费用；施工机具防护费用；按省市有关文件规定对建设工程实行平安卡制度所发生的各项费用。现有外排栅、外脚手架的建设和维护、保养、保修由承包单位提供。</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④用工实名管理。包括：利用信息技术手段，对施工现场人员登记并进行监管的各项信息、建立实名管理制度，开展实名管理所需数据的提取、登记、审核、报送和档案管理等工作；在施工区域安装电子信息卡刷卡或者个人生物信息识别设备等门禁设施，用于施工现场人员的日常考勤和工作情况记录；在项目现场设置公示牌，将每月经施工现场人员确认的考勤与工资支付信息在公示牌上进行公示；落实工程建设领域人工费用与其他工程款分账管理制度，设立工资支付专用账户，统一为已实名信息采集的施工现场人员办理银行卡，并通过银行卡足额发放工资；自行或提请银行将银行卡制作发放信息、工资支付信息归集后上传至实名监管系统，并向施工现场人员反馈其工资收入信息；施工现场人员退场时，为其办理退场登记，填报登记退场日期、用工评价或者诚信记录。</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⑤施工现场视频监控费：满足施工现场360°无死角。</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1.2 以下费用包括在绿色施工安全防护措施费中，均由投标人在该项措施内综合考虑：承包范围内的临水临电设施在施工期间的维护、保养、试验检验以及需要向第三方缴纳的费用；施工现场至建设单位提供的水电接驳点（详见招标文件）的临时用水用电线路；临时水电线路接通前的施工单位自行供水、供电措施及增加费用；招标图纸以外的进场道路、公共通道以及场地硬化。</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中标人进场后本标段内所有道路均由中标人负责维护，使用期间必须进行清扫、铲泥、洒水、喷雾，清除排水沟淤泥等维护措施，道路损坏需进行维修，保持道路清洁、畅通，飞行区内道路满足机场运行安全要求，所需费用包含在绿色施工安全文明施工费内综合考虑。</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机场红线外市政施工道路：施工期间，施工车辆必须遵守地方交通管理规定，经过场外周边村庄道路时，必须对村庄道路采取清扫、铲泥、洒水、喷雾等保洁措施，道路上不得洒落材料、产生扬尘，避免投诉，费用包含在绿色施工安全文明施工费内综合考虑。</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1.3绿色施工安全防护措施费中的“按系数计算的绿色施工安全防护措施费”属于不可竞争费用，投标人按照招标清单列出的金额填写，并在投标报价中单列，结算时按照合同条款约定执行。绿色施工安全防护措施费中的“按相关定额子目计算的绿色施工安全防护措施费”由投标人参考招标控制价金额自主报价，中标后不再调整，中标价即为结算价。</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2.模板工程及支架：指混凝土及钢筋混凝土施工过程中需要的各种钢模板、木模板、砖胎模（因砖胎膜砌筑需外扩的垫层由投标人在报价中考虑，结算时不再另行计算。）支架等的支、拆、运输费用及模板、支架的摊销（或租赁）及因防火需要为模板支架淋水的费用。包含因施工工艺变化引起的模板一次性摊销费用，综合考虑地梁处砖胎模相关的构造柱、圈梁、钢筋、模板、支撑、砖胎模厚度等全部费用，要求充分考虑大空间、大体积、高支模混凝土及清水混凝土、加固方式、支撑、防水等，地下室外墙模板（或其他部位）的紧固螺栓杆（不取出）产生的费用，含止水费所需全部增加的费用。此费用在对应单位工程中计列，该费用属合价包干项目，除合同另有约定外，结算时不作调整。</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3.脚手架工程：是指施工期内需要的各种脚手架搭、拆、运输及使用费用，脚手架的摊销（或租赁），以及安全挡板、编织布、冲孔网等费用。砖胎模脚手架综合考虑在本报价内。脚手架的搭设必须符合招标文件及招标人管理要求；脚手架的搭设必须考虑到各专业工程施工的交叉协调，由于脚手架的搭设不当而影响其他专业正常施工时，承包人进行调整和修改及因防火需要为脚手架喷雾冲洗系统及淋水费用不予增加。该费用属合价包干项目，除合同另有约定外，结算时不作调整（此项费用在对应子项工程开项，所涉及所有脚手架、挡板等费用请投标人均在上述开项内综合考虑）。</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4.施工围蔽：承包人进场后应根据发包人要求、行政主管部门的有关规定编制施工围蔽方案，按审批通过的围蔽方案实施，竣工后围蔽拆除处理由承包人自行负责，相关费用综合考虑。围蔽符合《广州市建设工程绿色施工围蔽指导图集（V2.0版）》和招标文件的要求。本项目涉及的所有施工围蔽，统一在单位工程“冷站建筑装饰工程”中计列，请投标人自行报价。施工围蔽费用属合价包干项目，除合同另有约定外，结算时不作调整。</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5.垂直运输工程：指除现有水平、垂直运输设施以外的为完成本标段承包范围内施工管理而发生的建筑物施工中为了将所需人工、材料、机具自地面垂直提升到所需高度而发生的费用，投标单位应根据现场实际情况综合考虑进行报价。该费用属合价包干项目，除合同另有约定外，结算时不作调整。</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6.大型机械设备进出场及安拆：指机械整体或分体自停放场地运至施工现场或由一个施工地点运至另一个施工地点，所发生的机械进出场运输及转移费用及机械在施工现场进行安装、拆卸所需的人工费、材料费、机械费、试运转费和安装所需的辅助设施的费用，但不包括根据《广东省建设工程计价依据（2018）》规定应包含在管理费中的机械场外运费。承包人须提前进入现场，做好施工准备工作，施工期设备闲置费用已考虑在此措施费中。该费用属合价包干项目，除合同另有约定外，结算时不作调整。本项目涉及该项费用的，统一在单位工程“冷站建筑与装饰工程”中计列。</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7.赶工措施费：在本标段工程施工期间应积极做好与本工程其它专业施工单位的配合工作，按照合同工期完成施工、工作面的移交等工作，在此过程中包括人工机械的赶工、夜班增加费、节假日加班等由投标人根据投标施工组织方案进行报价，综合考虑。该费用属合价包干项目，除合同另有约定外，结算时不作调整。本项目涉及该项费用的，统一在单位工程“冷站工程”的措施项目清单中报价。</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8.设置于管道（井）间或管廊内的管道施工增加费等：指承包方为完成本标段承包范围内工作，依据国家有关法律、法规和工程建设强制性标准，应计取的设置于管道（井）间或管廊内的管道施工增加费等相关费用。由投标人根据本工程具体情况并结合自身条件综合报价，不单独列项计算，结算时不作调整。</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9.已完工程及设备保护费：是指在竣工验收前或交付使用单位前，对本项目、其他专业施工单位已完成施工项目及设备供货单位已完成项目进行保护的费用，属合价包干项目，除合同另有约定外，结算时不作调整。本项目涉及该项费用的，统一在单位工程“冷站工程”的措施项目清单中报价。</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10.夜间施工增加费：除赶工和合理的施工作业要求外，因施工条件不允许在白天施工的工程，属合价包干项目，除合同另有约定外，结算时不作调整。本项目涉及该项费用的，统一在单位工程“冷站工程”的措施项目清单中报价。</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11.深化设计费：是指依据国家有关法律、法规和工程建设强制性标准，根据招标文件及设计要求可能产生图纸、工艺深化等相关设计费用，该费用属合价包干项目，除合同另有约定外，结算时不作调整。深化设计导致的工程费用变化等在综合单价内综合考虑，结算时不因采用方式变化和深化设计而调整综合单价。需要提供深化设计的系统包括但不限于以下系统：抗震支吊架、电气火灾监控系统、消防设备电源监控系统、防火门监控系统、气体灭火控制系统、多联机空调集中控制系统、冷源群控系统、一体化雨水提升泵站、蓄冷罐等。本项目涉及该项费用的，统一在单位工程“冷站工程”的措施项目清单中报价。</w:t>
      </w:r>
    </w:p>
    <w:p>
      <w:pPr>
        <w:pStyle w:val="21"/>
        <w:tabs>
          <w:tab w:val="left" w:pos="0"/>
          <w:tab w:val="left" w:pos="210"/>
          <w:tab w:val="left" w:pos="420"/>
        </w:tabs>
        <w:snapToGrid w:val="0"/>
        <w:spacing w:line="360" w:lineRule="auto"/>
        <w:ind w:firstLine="420" w:firstLineChars="200"/>
        <w:outlineLvl w:val="2"/>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12.甲供材料设备运输保管费：</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 xml:space="preserve">本工程甲供材料设备是指使用于本工程，由发包人负责采购，中标人负责安装的材料设备，中标人在使用甲供材料设备时应该履行有关管理规定。本项目甲供材料设备按工程量清单所列为准，主要包括如下内容：高压柜、变压器、直流屏、无功补偿与谐波治理装置、制冷机组（含主机控制柜）等。 </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甲供厂家将材料设备运输至招标人指定的卸货地点，并且负责材料、机组设备的卸货，卸货完成后厂家与中标人形成书面交接手续将机组交由中标人安装，厂家进行指导安装；中标人按发包人要求办理甲供材料设备领用手续，且负责厂家提供设备的仓储保管、施工现场内的二次运输。交接后因运输过程及保管过程的损坏、遗失等修复或重新购买的费用在投标报价内综合考虑。该费用属合价包干项目，除合同另有约定外，结算时不作调整。本项目涉及该项费用的，统一在单位工程“冷站工程”的措施项目清单中报价。</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13.联合调试及试运行费：中标人负责牵头组织制冷站水蓄冷调试工作，配合T3航站楼、GTC停车楼、工作区等区域的空调系统联合调试工作。联合调试及试运行的时间除应满足有关法律、规范要求外，还必须满足业主或使用单位的要求。本项目内的联合调试及试运行的水电费由投标人负责，属合价包干项目，除合同另有约定外，结算时不作调整。本项目涉及该项费用的，统一在单位工程“冷站工程”的措施项目清单中报价。</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14.陪伴运行费：工程投入使用后,中标人应按招标文件规定人员配置、时间要求提供陪伴运行服务，由此产生的费用，该费用属合价包干项目，除合同另有约定外，结算时不作调整。本项目涉及该项费用的，统一在单位工程“冷站工程”的措施项目清单中报价。如不满足招标文件的陪伴运行要求而给发包人造成损失，在结算中扣除相关费用。</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15.备品备件及专用工具费：指中标人必须提供乙供设备的在合同规定的质保期内的备品备件，满足各系统运行需求。该费用按项价包干，结算时不作调整。本项目涉及该项费用的，统一在单位工程“冷站工程”的措施项目清单中报价。</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16.乙购设备工厂测试及检验费：在工厂测试及检验、测试中心模拟测试产生的所有费用（包含不限于：房屋租赁费、办公家具费、人员费用、测试实验室在生产上线后的搬迁费用等），测试方案、内容、测试报告及其他工作需要满足规范和招标文件要求，以上费用在投标报价内综合考虑。本项目涉及该项费用的，统一在单位工程“冷站工程”的措施项目清单中报价。</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17.技术培训费：按招标文件及发包人要求完成技术培训工作，以上所发生费用应在投标报价内综合考虑，除合同另有约定外，结算时不作调整。本项目涉及该项费用的，统一在单位工程“冷站工程”的措施项目清单中报价。</w:t>
      </w:r>
    </w:p>
    <w:p>
      <w:pPr>
        <w:pStyle w:val="21"/>
        <w:tabs>
          <w:tab w:val="left" w:pos="0"/>
          <w:tab w:val="left" w:pos="210"/>
          <w:tab w:val="left" w:pos="420"/>
        </w:tabs>
        <w:snapToGrid w:val="0"/>
        <w:spacing w:line="360" w:lineRule="auto"/>
        <w:ind w:firstLine="420" w:firstLineChars="200"/>
        <w:outlineLvl w:val="2"/>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18.工程试运行费</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18.1承包人负责本招标范围的工程项目各专业工程的试运行牵头管理。试运行的合计天数和每天运行时间承包人综合考虑。承包单位应制定试运行方案，试运行方案经发包人、监理审核后实施。承包人安装范围内的设备、设施调试期间的水、电费由承包人承担，费用综合考虑。</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18.2承包人应服从发包人的要求配合T3航站楼、GTC停车楼、工作区等区域的空调调试及试运行。为配合T3航站楼、GTC停车楼、工作区等区域的空调调试及试运行，承包人安装范围内的设备、设施从本项目联合试运转合格至本项目交付使用单位之前所产生的试运行费用（含水、电费等）由承包人承担，水费由投标人综合考虑在投标报价内，电费按第18.3条约定计算，投标人投标时应进行充分的测算，并在投标报价中列明。</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18.3工程试运行费（联合调试试运行电费）：本项目联合调试试运转合格后至交付使用单位前的试运行电费，属于固定不可竞争费用，该项费用含税造价500万元/项（不含税造价4,587,155.96元/项），投标人须按招标人公布的不含税金额填报。如实际产生电费高于该单项控制价的30%以上（不含30%）或低于该单项控制价的10%以上（不含10%），超出变化幅度的部分按实际发生结算；如实际产生电费未超出上述变化幅度的，按固定总价包干，结算不作调整。本项目涉及该项费用的，统一在单位工程“冷站工程”的措施项目清单中报价。</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18.4承包人应在原有项目团队的基础上组建试运行团队，积极解决试运行期间的事宜。</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19.承包管理内容配合费：按招标文件的要求完成承包管理工作，包括但不限于负责白云三期扩建工程配套供冷工程及发包人、关联单位等另行发包工程（含发包人提供材料及设备等）所有专业工程实施的策划、组织、协调、监管等工作，包括且不限于总平面策划及组织管理、施工场地管理、安全生产和文明施工管理、各专业界面及工序管理、项目整体进度管理、信息整合管理、职业健康和环境管理、疫情防控管理、项目试运行管理、项目竣工资料汇总和管理（包含盖章）等，承担涉及整个项目的内外关系协调。本项目涉及该项费用的，统一在单位工程“冷站建筑与装饰工程”中计列。</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20.第三方监测配合费：指配合发包人委托的第三方监测单位进行监测，并承担施工期间的保护和维护工作，由投标人根据本工程具体情况并结合自身条件综合报价，不单独列项计算，结算时不作调整。</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21.施工单位自身监测费：是指依据国家有关法律、法规和工程建设强制性标准，施工单位根据招标文件要求及施工组织方案在施工期内完成承包范围内的监测（包含点位埋设）、基准点设置及校核等费用。由投标人根据本工程具体情况并结合自身条件综合报价，不单独列项计算，结算时不作调整。</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22.临时排水、临时道路、临时交通疏解等费用：由投标人根据本工程具体情况并结合自身条件综合报价，不单独列项计算，结算时不作调整。</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23.白蚁（红火蚁）防治费：按招标文件及政府相关要求做好白蚁（红火蚁）防治工作，本项目涉及该项费用的，统一在单位工程“冷站建筑与装饰工程”中计列。</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24.BIM配合费：是指中标人按招标文件要求完成与BIM相关工作需发生的费用，属合价包干项目，除合同另有约定外，结算时不作调整。本项目涉及该项费用的，统一在单位工程“冷站建筑与装饰工程”中计列。</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25.施工及地下水排水、降水费：指排水、降水、地下水治理以及满足环保要求的防洪排涝、保证排水顺畅及排水系统的清洁、维护、保养、基坑支护以外降水井、排水沟等所发生的一切费用，含工程发生的全部抽水台班费、基坑支护设计图纸以外降水井、排水沟，不包含施工雨水、污水的排除费用（在预算包干费中已考虑）。该费用属合价包干项目，除合同另有约定外，结算时不作调整。本项目涉及该项费用的，统一在单位工程“冷站建筑与装饰工程”中计列。</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26.材料二次运输：指因施工组织影响及因业主原因造成的材料二次运输费用（包括场内料具的多次搬迁）。该费用属合价包干项目，除合同另有约定外，结算时不作调整。本项目涉及该项费用的，统一在单位工程“冷站建筑与装饰工程”中计列。</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27.海绵城市效果评估费：投标人根据招标文件及政府相关关于海绵城市评估要求，编制《广州市建设工程海绵城市建设效果评估报告》。该费用属合价包干项目，除合同另有约定外，结算时不作调整。本项目涉及该项费用的，统一在单位工程“冷站建筑与装饰工程”中计列。</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28.其他措施费用：本次招标各单位工程工程量清单中未明确的措施项目（包括但不限于工程量清单编制说明所列），施工中又必须发生或者投标人认为为完成本工程项目将会发生的其他措施费用、因施工方案不同造成的措施费用的增加或给出的措施清单工程量误差部分引起的费用增减，由投标人根据本工程具体情况并结合自身条件综合报价不单独列项计算，结算时不作调整。</w:t>
      </w:r>
    </w:p>
    <w:p>
      <w:pPr>
        <w:pStyle w:val="21"/>
        <w:tabs>
          <w:tab w:val="left" w:pos="0"/>
          <w:tab w:val="left" w:pos="210"/>
          <w:tab w:val="left" w:pos="420"/>
        </w:tabs>
        <w:snapToGrid w:val="0"/>
        <w:spacing w:line="360" w:lineRule="auto"/>
        <w:ind w:firstLine="420" w:firstLineChars="200"/>
        <w:outlineLvl w:val="1"/>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（四）其他项目</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暂列金额：发包人暂定并包括在合同价款中的一笔款项。用于施工合同签订时尚未确定或者不可预见的所需材料、设备、服务的采购，施工中可能发生的工程变更、合同约定调整因素出现时的工程价款调整以及发生的索赔、现场签证确认等的费用。虽在投标时计入投标人的报价中，但不为投标人所有，在工程实施过程中，经发包人审批后方可使用。工程结算时，按合同约定和承包人实际完成的并经监理和发包人审定后的工作量结算，剩余部分仍归发包人所有。暂列金额应按招标工程量清单中列出的金额填写。</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2.预算包干费：预算包干内容一般包括施工雨（污）水的排除、因地形影响造成的场内料具二次运输、工程用水加压措施、施工材料堆放场地的整理、机电安装后的补洞（槽）工料费、工程成品保护费、施工中的临时停水停电、基础挖土方的塌方、日间照明施工增加费（不包括地下室和特殊工程）、完工清场后的垃圾外运、水电管线预埋因堵塞而增加的费用等。场地清理及垃圾外运项若承包人未按规定及时进行清运则由发包人另行委托队伍进行清运，实际清运费用由承包人承担。补洞工料费含孔洞的修补、塞洞补洞、塞缝和恢复费用等，补洞工作指孔洞的修补、塞洞补洞、塞缝和恢复等。预算包干费属合价包干项目，除合同另有约定外，结算时不作调整。</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本次招标控制价中不竞争费用包括：暂列金额、绿色施工安全防护措施费、工程试运行费（联合调试试运行电费）。</w:t>
      </w:r>
    </w:p>
    <w:p>
      <w:pPr>
        <w:pStyle w:val="21"/>
        <w:tabs>
          <w:tab w:val="left" w:pos="0"/>
          <w:tab w:val="left" w:pos="210"/>
          <w:tab w:val="left" w:pos="420"/>
        </w:tabs>
        <w:snapToGrid w:val="0"/>
        <w:spacing w:line="360" w:lineRule="auto"/>
        <w:ind w:firstLine="420" w:firstLineChars="200"/>
        <w:outlineLvl w:val="1"/>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（五）其他计价说明</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1.分部分项工程量清单中清单项目特征描述中有关型号、规格，技术参数及要求若与招标图纸及招标文件技术要求不相符的，应以招标人确认的要求为准。</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2.电缆桥架、线槽、封闭式母线、电缆、电气配管、风管、水管及其套管等在穿越防火分区楼板、隔墙及每层的电井楼板时，其空隙应采用相当于建筑构件耐火极限的不燃烧材料填塞密实进行阻火封堵，部分地方可能还要涉及用到混凝土封堵；电缆构筑物中电缆引至电气柜、盘或控制屏、台的开孔部位，电缆贯穿隔墙、楼板的孔洞处，工作井中电缆管孔等均应实施阻火封堵，以及涉及所有穿墙和穿楼板的洞口的普通封堵、线管与预埋套管之间的封堵等。相关工作内容及技术要求应满足招标及设计要求。相关费用投标人应综合考虑分摊到相应清单报价中，不另行列项增加费用。</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3.本项目中电气配电箱柜报价中，应包含柜体、智能电度表以及所有送配电电器元件等。不含漏电火灾监控单元、电源监控系统、智能照明模块，但应预留安装位置，并配合其供货商安装。</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4.所有风口应根据在区域装修环境及色号进行表面喷(涂)塑或采取其他工艺生产，由此而产生的费用，投标人综合考虑在相应的风口清单子目中，不因此而调整费用。</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5.本项目清单中凡是由相关设备配套提供控制箱、控制柜的，请在相应设备清单子目中考虑（甲供设备除外），如投标报价中未报价，结算不予调整，控制箱并要满足电气专业技术要求。</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6.本项目设计及招标要求的各专业设备、专业系统需提供开发协议及接口的，需增加的费用在投标报价内综合考虑。结算不予调整。</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7.本项目相关设备、箱柜、管道等安装时基础型钢、支吊架均含在相关设备、箱柜清单子目中，不单独列项。需要考虑基础、基础型钢、支吊架的，已在相应清单中明确。但不限于已明确清单子目，投标人应结合图纸及实际情况综合考虑。中标后不因相关清单子目漏掉基础、基础型钢、支吊架等内容而变更单价。</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8.灌水试验、满水试验费及产生的水费、排水费，投标人在投标报价内综合考虑。除合同另有约定外，结算时不作调整。</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9.本标段与其他标段的收口、接口、系统对接工作满足招标文件和设计要求，费用在投标报价内综合考虑。</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10.投标人须按设计或使用单位或业主的要求，负责对管线、设备等进行标识，包括颜色、文字、标签及其他必要的指示标志，负责提供设备信息二维码标签及本项目机电设备信息管理平台所需要信息资料等工作内容，负责对高低压房、变压器房等机房配置规范的安健环设施，负责提供配电箱柜的一次系统图、二次系统图及生产图等，此部分内容所需费用含在投标报价总价内。</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11.本标段内所有乙购材料及设备的场外运输及装卸、场内二次装卸和二次运输费，请投标人在投标单价内综合考虑，除合同另有约定外，结算时不作调整。</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12.对地下管线、其它相邻建（构）物等的保护费及相应降效费：要求在本标段施工过程中及其他施工单位利用本标段施工过程中确保本标段范围内管线、其它相邻建（构）物等的安全，本标段施工作业前需人工探明地下管线、其它相邻建（构）物，做好相应的保护工作，发生的相关费用由投标人在投标报价中综合考虑。除合同另有约定外，结算时不作调整。</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13.本招标范围内根据规范和招标文件要求投标人进行常规自检项目的检测，以及招标文件要求的有些特殊材料、设备或相应工序还需进行现场检验的费用，请投标人在投标报价中综合考虑，结算时不作调整。</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14.中标单位针对本工程10KV电气设备、电缆的调试，需提交具有国家承认的承装（修、试）电力设施许可证的单位盖章的交接试验报告及继电保护装置整定计算单，并完成所有送电前的准备工作。高压电缆的绝缘电阻测试、交流耐压、直流耐压检测等根据规范和招标文件要求的检测和测试的费用，请投标人在投标报价综合考虑。室外高压电缆试验在开列清单中报价。</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15.矿物绝缘电力电缆的连接件、接头等配件应采用原厂配套产品，请投标人按原厂配套产品在相应的电缆清单项目内综合考虑，结算不另行计算连接件、接头等配件费用。</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16.本标段施工竣工验收前，对已完工程及设备采取的覆盖、包裹、封闭、隔离等必要保护措施所发生的费用。请投标人在投标报价中综合考虑。除合同另有约定外，结算时不作调整。</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17.承包人须负责本项目场地区域内的各专业总承包管理工作（含发包人、关联单位等另行发包工程以及与其他项目总承包单位（含T3航站楼、GTC停车楼、工作区房建、工作区市政、景观河、树木迁移等项目）沟通协调等工作。在此过程中包括人工机械的停滞、降效以及其他相关费用由投标人在投标报价中综合考虑。除合同另有约定外，结算时不作调整。</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18.人员培训及其他：工程竣工前，所有设施、设备、系统的操作及基本维护均应对使用单位运行管理人员进行操作培训，制定培训手册，并做好培训纪录。包括安装、操作、检查维修、维护的技术培训。此项培训不减低承包人合同约定和法律规定的质保责任和售后服务责任，所有培训使用中文进行；培训前，培训人员的简历连同培训计划要一并提交发包人批准，发包人认为培训人员不合适可要求更换；承包人培训前应提供中文使用、维修手册，通过培训使使用单位人员能够了解设备结构工作原理及工作性质，能排除一般故障；现场培训完成后，承包人应向使用单位的受训人员颁发证书，使用单位向承包商签发现场培训完成证明；在该项目正式投入使用后三个月内，中标单位应对重要系统派人提供24小时应急服务，保证系统正常运行。同时，在本项目投入使用前必须完成向最终用户单位的实体移交工作，投标单位必须按照业主要求填写资产移交表格，并与使用方在现场完成资产清点的工作。以上所发生费用应在投标报价内综合考虑，除合同另有约定外，结算时不作调整。</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19.在施工过程中部分系统会出现提前使用的情况，例如永久照明系统当做施工照明使用、给排水系统提前使用、BAS系统提前使用等，当出现安装完成的设备和系统提前使用的情况后，承包单位应在竣工验收前将所有提前使用的设备或系统的易损件、消耗件及因提前使用等原因造成的设备或系统的损坏进行更换，确保移交给使用单位的设备为无故障无损耗的，所发生费用由投标人综合考虑在投标报价内。</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20.承包人负责高低压配电房验收并正式送电后至正式启用前，在整体项目未移交给使用单位前的高低压配电房管理，并制定包括但不限于高低压配电房的运行保障措施、配备专职安全人员、配置劳保用品、建立巡查台帐、进行值班等工作。值班人员配置按1个人计，应确保人员配置合理，满足巡查及应急处置需要。在工程项目验收后进行资产移交前，承包人需对上述设备重新进行检查和清洁，确保移交的设备满足使用要求，所发生费用由投标人综合考虑在投标报价内。</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21.在制冷站实现通水通电，空调具备送冷送风条件后，部分区域的空调需要在施工期间提前使用，承包人应制定相应的空调使用和维护保养措施，确保施工期间空调正常使用，且项目验收移交最终用户时应对空调滤网等损耗件进行更换，同时对设备进行必要的清洁工作，所发生费用由投标人综合考虑在投标报价内。</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22.在制冷站实现通水后，部分区域消火栓系统需要在施工期间提前使用，承包单位应制定相应的施工计划和消火栓使用、维护保养措施，将提前使用的消火栓系统作为施工期间的消防设施，所发生费用由投标人综合考虑在投标报价内。</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23.投标人须严格落实国家和地方各级政府以及相关管理单位关于疫情防控工作的要求，由投标人根据本工程情况并结合自身条件综合考虑在投标报价内，除合同另有约定外，结算时不作调整。</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24.智能建造联合创新工作室建设费用：工作室运行期间所产生的场地租用、水电费、网络费、物业费、办公家具、装饰布置等日常运行费用由入驻工作室的各家参建单位平均承担，均摊费用在工程开工后一次性缴清，由投标人在投标报价中综合考虑。</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25.各承包单位除负责施工时期各自的临时用水用电外，各承包单位安装范围内的设备、设施调试期间，至项目竣工验收之前的正式水、电费由各承包单位承担，各承包单位投标时应进行充分的测算，并在投标报价中综合考虑。各用电单位的用电、计量等使用方案由投标单位制定，经发包人、监理审核后实施。</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26.本项目遇需砖墙开洞时，开洞及封堵相关费用投标人综合考虑到相关清单子目报价内；非承包人原因造成的混凝土开洞及洞口修复封堵按体积计量，结算时按签证工程量及投标单价计算费用，清单开列在“冷站工程”中开项。</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27.施工过程中的凿墙刨沟、凿砼刨沟、沟槽封堵及修复等费用已含在相应的清单综合单价内，由投标人综合考虑报价，结算时不另计算。</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28.清单项目中的主材、设备为甲供的，项目特征已注明主材、设备供应方式为甲供，清单特征未注明的均为乙供设备、主材。</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29.设计图纸有标示的管道伸缩节在开列的清单报价，图纸未标示的管道伸缩节，按施工规范要求施工，所需费用在投标报价中综合考虑，结算不在另外计算。</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30.甲供材料设备用量按定额规定损耗计算，超出定额损耗领用的材料设备须按甲方采购价格和采保费扣罚超领费用。</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31.承包人须提供足够的材料样品作试验之用，若有需要进行破坏性的试验，因此产生的样品和试验所需的有关费用已包含在投标报价内。</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32.所有风口应根据在区域装修环境及色号进行对应采购、表面喷(涂)塑、采取其他工艺生产，由此而产生的费用，投标人综合考虑在相应的风口清单子目中，不因引而调整费用。</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33.本项目的设施设备在工程项目验收后进行资产移交前，所发生的管理费用由投标人综合考虑在投标报价内。</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34.本项目水电费由投标人自主报价，除政策性调整外，结算不予调整。施工实际用水用电费收费标准按机场水电管理单位规定执行，水电管理单位的收费标准与信息价或投标单位水电单价不一致的、实际水电费与投标报价水电费不一致的，均由投标人综合考虑在投标报价内，结算不作调整。</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35.本项目需要卫生检验和检疫的费用，请投标人在投标报价内综合考虑，投标人需提交卫生检验和检疫的合格证给发包人。如投标人未能提交合格证，发包人自行委托卫生检验和检疫，并将在投标人的结算中扣除此项费用。</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37.投标人须按发包人提供的电气元器件分解表格式填报配电箱、配电柜、高低压柜等的电气元器件价格分析。</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38.清单综合单价分析表导出时需包含该单价下挂定额明细、该单价所有人材机明细，请投标人在投标报价时单价分析表按清单表格格式要求设置导出单价分析表。</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bCs/>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39.招标文件中要求其他的工作、职责、规定，上面未提及的，请投标人在投标报价综合考虑。</w:t>
      </w:r>
    </w:p>
    <w:p>
      <w:pPr>
        <w:pStyle w:val="21"/>
        <w:tabs>
          <w:tab w:val="left" w:pos="0"/>
          <w:tab w:val="left" w:pos="210"/>
          <w:tab w:val="left" w:pos="420"/>
        </w:tabs>
        <w:snapToGrid w:val="0"/>
        <w:spacing w:line="360" w:lineRule="auto"/>
        <w:ind w:firstLine="422" w:firstLineChars="200"/>
        <w:outlineLvl w:val="0"/>
        <w:rPr>
          <w:rFonts w:hint="default" w:ascii="宋体" w:hAnsi="宋体" w:eastAsia="宋体" w:cs="Times New Roman"/>
          <w:b/>
          <w:bCs/>
          <w:color w:val="auto"/>
          <w:kern w:val="2"/>
          <w:sz w:val="21"/>
          <w:szCs w:val="21"/>
          <w:highlight w:val="none"/>
          <w:lang w:val="en-US" w:eastAsia="zh-CN" w:bidi="ar-SA"/>
        </w:rPr>
      </w:pPr>
      <w:r>
        <w:rPr>
          <w:rFonts w:hint="eastAsia" w:ascii="宋体" w:hAnsi="宋体" w:eastAsia="宋体" w:cs="Times New Roman"/>
          <w:b/>
          <w:bCs/>
          <w:color w:val="auto"/>
          <w:kern w:val="2"/>
          <w:sz w:val="21"/>
          <w:szCs w:val="21"/>
          <w:highlight w:val="none"/>
          <w:lang w:val="en-US" w:eastAsia="zh-CN" w:bidi="ar-SA"/>
        </w:rPr>
        <w:t>五、招标控制价</w:t>
      </w:r>
    </w:p>
    <w:p>
      <w:pPr>
        <w:pStyle w:val="21"/>
        <w:numPr>
          <w:ilvl w:val="0"/>
          <w:numId w:val="0"/>
        </w:numPr>
        <w:tabs>
          <w:tab w:val="left" w:pos="0"/>
          <w:tab w:val="left" w:pos="210"/>
          <w:tab w:val="left" w:pos="420"/>
        </w:tabs>
        <w:snapToGrid w:val="0"/>
        <w:spacing w:line="360" w:lineRule="auto"/>
        <w:ind w:firstLine="422" w:firstLineChars="200"/>
        <w:rPr>
          <w:rFonts w:hint="eastAsia" w:ascii="宋体" w:hAnsi="宋体"/>
          <w:b/>
          <w:bCs/>
          <w:color w:val="auto"/>
          <w:sz w:val="21"/>
          <w:szCs w:val="21"/>
          <w:highlight w:val="none"/>
          <w:lang w:val="en-US" w:eastAsia="zh-CN"/>
        </w:rPr>
      </w:pPr>
      <w:r>
        <w:rPr>
          <w:rFonts w:hint="eastAsia" w:ascii="宋体" w:hAnsi="宋体"/>
          <w:b/>
          <w:bCs/>
          <w:color w:val="auto"/>
          <w:sz w:val="21"/>
          <w:szCs w:val="21"/>
          <w:highlight w:val="none"/>
          <w:lang w:val="en-US" w:eastAsia="zh-CN"/>
        </w:rPr>
        <w:t>1、本项目除设置总价招标控制价外，同时设置单项工程招标控制价，总价及单项工程投标报价均不得超过招标控制价；</w:t>
      </w:r>
    </w:p>
    <w:p>
      <w:pPr>
        <w:pStyle w:val="21"/>
        <w:numPr>
          <w:ilvl w:val="0"/>
          <w:numId w:val="0"/>
        </w:numPr>
        <w:tabs>
          <w:tab w:val="left" w:pos="0"/>
          <w:tab w:val="left" w:pos="210"/>
          <w:tab w:val="left" w:pos="420"/>
        </w:tabs>
        <w:snapToGrid w:val="0"/>
        <w:spacing w:line="360" w:lineRule="auto"/>
        <w:ind w:firstLine="422" w:firstLineChars="200"/>
        <w:rPr>
          <w:rFonts w:hint="eastAsia" w:ascii="宋体" w:hAnsi="宋体"/>
          <w:b/>
          <w:bCs/>
          <w:color w:val="auto"/>
          <w:sz w:val="21"/>
          <w:szCs w:val="21"/>
          <w:highlight w:val="none"/>
          <w:lang w:val="en-US" w:eastAsia="zh-CN"/>
        </w:rPr>
      </w:pPr>
      <w:r>
        <w:rPr>
          <w:rFonts w:hint="eastAsia" w:ascii="宋体" w:hAnsi="宋体"/>
          <w:b/>
          <w:bCs/>
          <w:color w:val="auto"/>
          <w:sz w:val="21"/>
          <w:szCs w:val="21"/>
          <w:highlight w:val="none"/>
          <w:lang w:val="en-US" w:eastAsia="zh-CN"/>
        </w:rPr>
        <w:t>2、本项目除设置总价工程成本警戒价外，同时设置单项工程成本警戒价；</w:t>
      </w:r>
    </w:p>
    <w:p>
      <w:pPr>
        <w:pStyle w:val="21"/>
        <w:numPr>
          <w:ilvl w:val="0"/>
          <w:numId w:val="0"/>
        </w:numPr>
        <w:tabs>
          <w:tab w:val="left" w:pos="0"/>
          <w:tab w:val="left" w:pos="210"/>
          <w:tab w:val="left" w:pos="420"/>
        </w:tabs>
        <w:snapToGrid w:val="0"/>
        <w:spacing w:line="360" w:lineRule="auto"/>
        <w:ind w:firstLine="422" w:firstLineChars="200"/>
        <w:rPr>
          <w:rFonts w:hint="eastAsia" w:ascii="宋体" w:hAnsi="宋体"/>
          <w:b/>
          <w:bCs/>
          <w:color w:val="auto"/>
          <w:sz w:val="21"/>
          <w:szCs w:val="21"/>
          <w:highlight w:val="none"/>
          <w:lang w:val="en-US" w:eastAsia="zh-CN"/>
        </w:rPr>
      </w:pPr>
      <w:r>
        <w:rPr>
          <w:rFonts w:hint="eastAsia" w:ascii="宋体" w:hAnsi="宋体"/>
          <w:b/>
          <w:bCs/>
          <w:color w:val="auto"/>
          <w:sz w:val="21"/>
          <w:szCs w:val="21"/>
          <w:highlight w:val="none"/>
          <w:lang w:val="en-US" w:eastAsia="zh-CN"/>
        </w:rPr>
        <w:t>具体详见下表：</w:t>
      </w:r>
    </w:p>
    <w:tbl>
      <w:tblPr>
        <w:tblStyle w:val="17"/>
        <w:tblW w:w="870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0"/>
        <w:gridCol w:w="2471"/>
        <w:gridCol w:w="2645"/>
        <w:gridCol w:w="26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rFonts w:hint="eastAsia" w:ascii="宋体" w:hAnsi="宋体" w:eastAsia="宋体" w:cs="宋体"/>
                <w:sz w:val="21"/>
                <w:szCs w:val="21"/>
                <w:lang w:val="en-US" w:eastAsia="zh-CN" w:bidi="ar"/>
              </w:rPr>
              <w:t>序号</w:t>
            </w:r>
          </w:p>
        </w:tc>
        <w:tc>
          <w:tcPr>
            <w:tcW w:w="247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rFonts w:hint="eastAsia" w:ascii="宋体" w:hAnsi="宋体" w:eastAsia="宋体" w:cs="宋体"/>
                <w:sz w:val="21"/>
                <w:szCs w:val="21"/>
                <w:lang w:val="en-US" w:eastAsia="zh-CN" w:bidi="ar"/>
              </w:rPr>
              <w:t>单项工程名称</w:t>
            </w:r>
          </w:p>
        </w:tc>
        <w:tc>
          <w:tcPr>
            <w:tcW w:w="264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rFonts w:hint="eastAsia" w:ascii="宋体" w:hAnsi="宋体" w:eastAsia="宋体" w:cs="宋体"/>
                <w:sz w:val="21"/>
                <w:szCs w:val="21"/>
                <w:lang w:val="en-US" w:eastAsia="zh-CN" w:bidi="ar"/>
              </w:rPr>
              <w:t>招标控制价金额（元）</w:t>
            </w:r>
          </w:p>
        </w:tc>
        <w:tc>
          <w:tcPr>
            <w:tcW w:w="2633"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rFonts w:hint="eastAsia" w:ascii="宋体" w:hAnsi="宋体" w:eastAsia="宋体" w:cs="宋体"/>
                <w:sz w:val="21"/>
                <w:szCs w:val="21"/>
                <w:lang w:val="en-US" w:eastAsia="zh-CN" w:bidi="ar"/>
              </w:rPr>
              <w:t>工程成本警戒价金额（元）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0" w:type="dxa"/>
            <w:tcBorders>
              <w:top w:val="single" w:color="auto" w:sz="4" w:space="0"/>
              <w:left w:val="single" w:color="auto" w:sz="4" w:space="0"/>
              <w:bottom w:val="single" w:color="auto" w:sz="4" w:space="0"/>
              <w:right w:val="single" w:color="auto" w:sz="4" w:space="0"/>
            </w:tcBorders>
            <w:shd w:val="clear" w:color="auto" w:fill="FFFFFF"/>
            <w:vAlign w:val="bottom"/>
          </w:tcPr>
          <w:p>
            <w:pPr>
              <w:jc w:val="center"/>
              <w:rPr>
                <w:rFonts w:hint="eastAsia" w:ascii="宋体" w:hAnsi="宋体" w:eastAsia="宋体" w:cs="宋体"/>
                <w:i w:val="0"/>
                <w:iCs w:val="0"/>
                <w:color w:val="000000"/>
                <w:sz w:val="21"/>
                <w:szCs w:val="21"/>
                <w:u w:val="none"/>
              </w:rPr>
            </w:pPr>
          </w:p>
        </w:tc>
        <w:tc>
          <w:tcPr>
            <w:tcW w:w="247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Style w:val="33"/>
                <w:rFonts w:hint="eastAsia" w:ascii="宋体" w:hAnsi="宋体" w:eastAsia="宋体" w:cs="宋体"/>
                <w:b/>
                <w:bCs/>
                <w:sz w:val="21"/>
                <w:szCs w:val="21"/>
                <w:lang w:val="en-US" w:eastAsia="zh-CN" w:bidi="ar"/>
              </w:rPr>
              <w:t>合计</w:t>
            </w:r>
          </w:p>
        </w:tc>
        <w:tc>
          <w:tcPr>
            <w:tcW w:w="264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262626"/>
                <w:kern w:val="2"/>
                <w:sz w:val="21"/>
                <w:szCs w:val="21"/>
                <w:u w:val="none"/>
                <w:lang w:val="en-US" w:eastAsia="zh-CN" w:bidi="ar-SA"/>
              </w:rPr>
            </w:pPr>
            <w:r>
              <w:rPr>
                <w:rFonts w:hint="eastAsia" w:ascii="宋体" w:hAnsi="宋体" w:eastAsia="宋体" w:cs="宋体"/>
                <w:b/>
                <w:bCs/>
                <w:i w:val="0"/>
                <w:iCs w:val="0"/>
                <w:color w:val="000000"/>
                <w:sz w:val="21"/>
                <w:szCs w:val="21"/>
                <w:u w:val="none"/>
                <w:lang w:val="en-US" w:eastAsia="zh-CN"/>
              </w:rPr>
              <w:t xml:space="preserve">198,909,091.00 </w:t>
            </w:r>
          </w:p>
        </w:tc>
        <w:tc>
          <w:tcPr>
            <w:tcW w:w="2633"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 xml:space="preserve">159,127,272.80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247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262626"/>
                <w:kern w:val="0"/>
                <w:sz w:val="21"/>
                <w:szCs w:val="21"/>
                <w:u w:val="none"/>
                <w:lang w:val="en-US" w:eastAsia="zh-CN" w:bidi="ar"/>
              </w:rPr>
              <w:t>室外空调冷水管</w:t>
            </w:r>
          </w:p>
        </w:tc>
        <w:tc>
          <w:tcPr>
            <w:tcW w:w="264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262626"/>
                <w:kern w:val="0"/>
                <w:sz w:val="21"/>
                <w:szCs w:val="21"/>
                <w:u w:val="none"/>
                <w:lang w:val="en-US" w:eastAsia="zh-CN" w:bidi="ar"/>
              </w:rPr>
              <w:t xml:space="preserve">24,789,096.80 </w:t>
            </w:r>
          </w:p>
        </w:tc>
        <w:tc>
          <w:tcPr>
            <w:tcW w:w="2633"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262626"/>
                <w:kern w:val="0"/>
                <w:sz w:val="21"/>
                <w:szCs w:val="21"/>
                <w:u w:val="none"/>
                <w:lang w:val="en-US" w:eastAsia="zh-CN" w:bidi="ar"/>
              </w:rPr>
              <w:t xml:space="preserve">19,831,277.44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6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247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262626"/>
                <w:kern w:val="0"/>
                <w:sz w:val="21"/>
                <w:szCs w:val="21"/>
                <w:u w:val="none"/>
                <w:lang w:val="en-US" w:eastAsia="zh-CN" w:bidi="ar"/>
              </w:rPr>
              <w:t>冷站建筑装饰工程</w:t>
            </w:r>
          </w:p>
        </w:tc>
        <w:tc>
          <w:tcPr>
            <w:tcW w:w="264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262626"/>
                <w:kern w:val="0"/>
                <w:sz w:val="21"/>
                <w:szCs w:val="21"/>
                <w:u w:val="none"/>
                <w:lang w:val="en-US" w:eastAsia="zh-CN" w:bidi="ar"/>
              </w:rPr>
              <w:t xml:space="preserve">35,012,801.13 </w:t>
            </w:r>
          </w:p>
        </w:tc>
        <w:tc>
          <w:tcPr>
            <w:tcW w:w="2633"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262626"/>
                <w:kern w:val="0"/>
                <w:sz w:val="21"/>
                <w:szCs w:val="21"/>
                <w:u w:val="none"/>
                <w:lang w:val="en-US" w:eastAsia="zh-CN" w:bidi="ar"/>
              </w:rPr>
              <w:t xml:space="preserve">28,010,240.90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247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262626"/>
                <w:kern w:val="0"/>
                <w:sz w:val="21"/>
                <w:szCs w:val="21"/>
                <w:u w:val="none"/>
                <w:lang w:val="en-US" w:eastAsia="zh-CN" w:bidi="ar"/>
              </w:rPr>
              <w:t>冷站机电安装工程</w:t>
            </w:r>
          </w:p>
        </w:tc>
        <w:tc>
          <w:tcPr>
            <w:tcW w:w="264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262626"/>
                <w:kern w:val="0"/>
                <w:sz w:val="21"/>
                <w:szCs w:val="21"/>
                <w:u w:val="none"/>
                <w:lang w:val="en-US" w:eastAsia="zh-CN" w:bidi="ar"/>
              </w:rPr>
              <w:t xml:space="preserve">76,781,370.53 </w:t>
            </w:r>
          </w:p>
        </w:tc>
        <w:tc>
          <w:tcPr>
            <w:tcW w:w="2633"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262626"/>
                <w:kern w:val="0"/>
                <w:sz w:val="21"/>
                <w:szCs w:val="21"/>
                <w:u w:val="none"/>
                <w:lang w:val="en-US" w:eastAsia="zh-CN" w:bidi="ar"/>
              </w:rPr>
              <w:t xml:space="preserve">61,425,096.42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6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47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262626"/>
                <w:kern w:val="0"/>
                <w:sz w:val="21"/>
                <w:szCs w:val="21"/>
                <w:u w:val="none"/>
                <w:lang w:val="en-US" w:eastAsia="zh-CN" w:bidi="ar"/>
              </w:rPr>
              <w:t>冷罐</w:t>
            </w:r>
          </w:p>
        </w:tc>
        <w:tc>
          <w:tcPr>
            <w:tcW w:w="264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262626"/>
                <w:kern w:val="0"/>
                <w:sz w:val="21"/>
                <w:szCs w:val="21"/>
                <w:u w:val="none"/>
                <w:lang w:val="en-US" w:eastAsia="zh-CN" w:bidi="ar"/>
              </w:rPr>
              <w:t xml:space="preserve">49,567,308.85 </w:t>
            </w:r>
          </w:p>
        </w:tc>
        <w:tc>
          <w:tcPr>
            <w:tcW w:w="2633"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262626"/>
                <w:kern w:val="0"/>
                <w:sz w:val="21"/>
                <w:szCs w:val="21"/>
                <w:u w:val="none"/>
                <w:lang w:val="en-US" w:eastAsia="zh-CN" w:bidi="ar"/>
              </w:rPr>
              <w:t xml:space="preserve">39,653,847.08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247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262626"/>
                <w:kern w:val="0"/>
                <w:sz w:val="21"/>
                <w:szCs w:val="21"/>
                <w:u w:val="none"/>
                <w:lang w:val="en-US" w:eastAsia="zh-CN" w:bidi="ar"/>
              </w:rPr>
              <w:t>室外配套工程</w:t>
            </w:r>
          </w:p>
        </w:tc>
        <w:tc>
          <w:tcPr>
            <w:tcW w:w="264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262626"/>
                <w:kern w:val="0"/>
                <w:sz w:val="21"/>
                <w:szCs w:val="21"/>
                <w:u w:val="none"/>
                <w:lang w:val="en-US" w:eastAsia="zh-CN" w:bidi="ar"/>
              </w:rPr>
              <w:t xml:space="preserve">12,758,513.69 </w:t>
            </w:r>
          </w:p>
        </w:tc>
        <w:tc>
          <w:tcPr>
            <w:tcW w:w="2633"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262626"/>
                <w:kern w:val="0"/>
                <w:sz w:val="21"/>
                <w:szCs w:val="21"/>
                <w:u w:val="none"/>
                <w:lang w:val="en-US" w:eastAsia="zh-CN" w:bidi="ar"/>
              </w:rPr>
              <w:t xml:space="preserve">10,206,810.95 </w:t>
            </w:r>
          </w:p>
        </w:tc>
      </w:tr>
    </w:tbl>
    <w:p>
      <w:pPr>
        <w:pStyle w:val="6"/>
        <w:keepNext/>
        <w:keepLines/>
        <w:pageBreakBefore w:val="0"/>
        <w:widowControl w:val="0"/>
        <w:kinsoku/>
        <w:wordWrap/>
        <w:overflowPunct/>
        <w:topLinePunct w:val="0"/>
        <w:autoSpaceDE/>
        <w:autoSpaceDN/>
        <w:bidi w:val="0"/>
        <w:adjustRightInd/>
        <w:snapToGrid/>
        <w:spacing w:line="240" w:lineRule="auto"/>
        <w:ind w:firstLine="422" w:firstLineChars="200"/>
        <w:jc w:val="left"/>
        <w:textAlignment w:val="auto"/>
        <w:outlineLvl w:val="9"/>
        <w:rPr>
          <w:rFonts w:hint="eastAsia" w:ascii="宋体" w:hAnsi="宋体"/>
          <w:b/>
          <w:bCs/>
          <w:color w:val="auto"/>
          <w:sz w:val="21"/>
          <w:szCs w:val="21"/>
          <w:highlight w:val="none"/>
        </w:rPr>
      </w:pPr>
    </w:p>
    <w:p>
      <w:pPr>
        <w:pStyle w:val="6"/>
        <w:keepNext/>
        <w:keepLines/>
        <w:pageBreakBefore w:val="0"/>
        <w:widowControl w:val="0"/>
        <w:kinsoku/>
        <w:wordWrap/>
        <w:overflowPunct/>
        <w:topLinePunct w:val="0"/>
        <w:autoSpaceDE/>
        <w:autoSpaceDN/>
        <w:bidi w:val="0"/>
        <w:adjustRightInd/>
        <w:snapToGrid/>
        <w:spacing w:line="240" w:lineRule="auto"/>
        <w:ind w:firstLine="422" w:firstLineChars="200"/>
        <w:jc w:val="left"/>
        <w:textAlignment w:val="auto"/>
        <w:outlineLvl w:val="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本项目不可竞争费用明细公布如下：</w:t>
      </w:r>
    </w:p>
    <w:tbl>
      <w:tblPr>
        <w:tblStyle w:val="17"/>
        <w:tblW w:w="96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16"/>
        <w:gridCol w:w="3493"/>
        <w:gridCol w:w="1734"/>
        <w:gridCol w:w="1800"/>
        <w:gridCol w:w="18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716" w:type="dxa"/>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3493" w:type="dxa"/>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单项工程名称</w:t>
            </w:r>
          </w:p>
        </w:tc>
        <w:tc>
          <w:tcPr>
            <w:tcW w:w="5391" w:type="dxa"/>
            <w:gridSpan w:val="3"/>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不可竞争费用（元）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716"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1"/>
                <w:szCs w:val="21"/>
                <w:u w:val="none"/>
              </w:rPr>
            </w:pPr>
          </w:p>
        </w:tc>
        <w:tc>
          <w:tcPr>
            <w:tcW w:w="349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1"/>
                <w:szCs w:val="21"/>
                <w:u w:val="none"/>
              </w:rPr>
            </w:pPr>
          </w:p>
        </w:tc>
        <w:tc>
          <w:tcPr>
            <w:tcW w:w="173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按系数计算的绿色施工安全防护措施费</w:t>
            </w:r>
          </w:p>
        </w:tc>
        <w:tc>
          <w:tcPr>
            <w:tcW w:w="180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暂列金额</w:t>
            </w:r>
          </w:p>
        </w:tc>
        <w:tc>
          <w:tcPr>
            <w:tcW w:w="1857"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18"/>
                <w:szCs w:val="18"/>
                <w:highlight w:val="none"/>
                <w:u w:val="none"/>
                <w:lang w:val="en-US" w:eastAsia="zh-CN" w:bidi="ar"/>
              </w:rPr>
              <w:t>联合调试试运行电费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209"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合计</w:t>
            </w:r>
          </w:p>
        </w:tc>
        <w:tc>
          <w:tcPr>
            <w:tcW w:w="173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4,335,633.18</w:t>
            </w:r>
          </w:p>
        </w:tc>
        <w:tc>
          <w:tcPr>
            <w:tcW w:w="180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15,267,251.21</w:t>
            </w:r>
          </w:p>
        </w:tc>
        <w:tc>
          <w:tcPr>
            <w:tcW w:w="1857"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sz w:val="21"/>
                <w:szCs w:val="21"/>
                <w:u w:val="none"/>
              </w:rPr>
              <w:t>4</w:t>
            </w:r>
            <w:r>
              <w:rPr>
                <w:rFonts w:hint="eastAsia" w:ascii="宋体" w:hAnsi="宋体" w:eastAsia="宋体" w:cs="宋体"/>
                <w:b/>
                <w:bCs/>
                <w:i w:val="0"/>
                <w:iCs w:val="0"/>
                <w:color w:val="000000"/>
                <w:kern w:val="0"/>
                <w:sz w:val="21"/>
                <w:szCs w:val="21"/>
                <w:u w:val="none"/>
                <w:lang w:val="en-US" w:eastAsia="zh-CN" w:bidi="ar"/>
              </w:rPr>
              <w:t>,</w:t>
            </w:r>
            <w:r>
              <w:rPr>
                <w:rFonts w:hint="eastAsia" w:ascii="宋体" w:hAnsi="宋体" w:eastAsia="宋体" w:cs="宋体"/>
                <w:b/>
                <w:bCs/>
                <w:i w:val="0"/>
                <w:iCs w:val="0"/>
                <w:color w:val="000000"/>
                <w:sz w:val="21"/>
                <w:szCs w:val="21"/>
                <w:u w:val="none"/>
              </w:rPr>
              <w:t>587</w:t>
            </w:r>
            <w:r>
              <w:rPr>
                <w:rFonts w:hint="eastAsia" w:ascii="宋体" w:hAnsi="宋体" w:eastAsia="宋体" w:cs="宋体"/>
                <w:b/>
                <w:bCs/>
                <w:i w:val="0"/>
                <w:iCs w:val="0"/>
                <w:color w:val="000000"/>
                <w:kern w:val="0"/>
                <w:sz w:val="21"/>
                <w:szCs w:val="21"/>
                <w:u w:val="none"/>
                <w:lang w:val="en-US" w:eastAsia="zh-CN" w:bidi="ar"/>
              </w:rPr>
              <w:t>,</w:t>
            </w:r>
            <w:r>
              <w:rPr>
                <w:rFonts w:hint="eastAsia" w:ascii="宋体" w:hAnsi="宋体" w:eastAsia="宋体" w:cs="宋体"/>
                <w:b/>
                <w:bCs/>
                <w:i w:val="0"/>
                <w:iCs w:val="0"/>
                <w:color w:val="000000"/>
                <w:sz w:val="21"/>
                <w:szCs w:val="21"/>
                <w:u w:val="none"/>
              </w:rPr>
              <w:t>155.96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bookmarkStart w:id="1" w:name="_GoBack" w:colFirst="1" w:colLast="3"/>
            <w:r>
              <w:rPr>
                <w:rFonts w:hint="eastAsia" w:ascii="宋体" w:hAnsi="宋体" w:eastAsia="宋体" w:cs="宋体"/>
                <w:b w:val="0"/>
                <w:bCs w:val="0"/>
                <w:i w:val="0"/>
                <w:iCs w:val="0"/>
                <w:color w:val="000000"/>
                <w:kern w:val="0"/>
                <w:sz w:val="21"/>
                <w:szCs w:val="21"/>
                <w:u w:val="none"/>
                <w:lang w:val="en-US" w:eastAsia="zh-CN" w:bidi="ar"/>
              </w:rPr>
              <w:t>1</w:t>
            </w:r>
          </w:p>
        </w:tc>
        <w:tc>
          <w:tcPr>
            <w:tcW w:w="349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262626"/>
                <w:kern w:val="0"/>
                <w:sz w:val="21"/>
                <w:szCs w:val="21"/>
                <w:u w:val="none"/>
                <w:lang w:val="en-US" w:eastAsia="zh-CN" w:bidi="ar"/>
              </w:rPr>
            </w:pPr>
            <w:r>
              <w:rPr>
                <w:rFonts w:hint="eastAsia" w:ascii="宋体" w:hAnsi="宋体" w:eastAsia="宋体" w:cs="宋体"/>
                <w:b w:val="0"/>
                <w:bCs w:val="0"/>
                <w:i w:val="0"/>
                <w:iCs w:val="0"/>
                <w:color w:val="262626"/>
                <w:kern w:val="0"/>
                <w:sz w:val="21"/>
                <w:szCs w:val="21"/>
                <w:u w:val="none"/>
                <w:lang w:val="en-US" w:eastAsia="zh-CN" w:bidi="ar"/>
              </w:rPr>
              <w:t>室外空调冷水管</w:t>
            </w:r>
          </w:p>
        </w:tc>
        <w:tc>
          <w:tcPr>
            <w:tcW w:w="173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default" w:ascii="宋体" w:hAnsi="宋体" w:eastAsia="宋体" w:cs="宋体"/>
                <w:b w:val="0"/>
                <w:bCs w:val="0"/>
                <w:i w:val="0"/>
                <w:iCs w:val="0"/>
                <w:color w:val="000000"/>
                <w:sz w:val="21"/>
                <w:szCs w:val="21"/>
                <w:u w:val="none"/>
                <w:lang w:val="en-US" w:eastAsia="zh-CN"/>
              </w:rPr>
              <w:t xml:space="preserve">739,702.08 </w:t>
            </w:r>
          </w:p>
        </w:tc>
        <w:tc>
          <w:tcPr>
            <w:tcW w:w="180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default" w:ascii="宋体" w:hAnsi="宋体" w:eastAsia="宋体" w:cs="宋体"/>
                <w:b w:val="0"/>
                <w:bCs w:val="0"/>
                <w:i w:val="0"/>
                <w:iCs w:val="0"/>
                <w:color w:val="000000"/>
                <w:sz w:val="21"/>
                <w:szCs w:val="21"/>
                <w:u w:val="none"/>
                <w:lang w:val="en-US" w:eastAsia="zh-CN"/>
              </w:rPr>
              <w:t xml:space="preserve">1,990,165.28 </w:t>
            </w:r>
          </w:p>
        </w:tc>
        <w:tc>
          <w:tcPr>
            <w:tcW w:w="1857"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1.1</w:t>
            </w:r>
          </w:p>
        </w:tc>
        <w:tc>
          <w:tcPr>
            <w:tcW w:w="349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262626"/>
                <w:kern w:val="0"/>
                <w:sz w:val="21"/>
                <w:szCs w:val="21"/>
                <w:u w:val="none"/>
                <w:lang w:val="en-US" w:eastAsia="zh-CN" w:bidi="ar"/>
              </w:rPr>
            </w:pPr>
            <w:r>
              <w:rPr>
                <w:rFonts w:hint="eastAsia" w:ascii="宋体" w:hAnsi="宋体" w:eastAsia="宋体" w:cs="宋体"/>
                <w:b w:val="0"/>
                <w:bCs w:val="0"/>
                <w:i w:val="0"/>
                <w:iCs w:val="0"/>
                <w:color w:val="262626"/>
                <w:kern w:val="0"/>
                <w:sz w:val="21"/>
                <w:szCs w:val="21"/>
                <w:u w:val="none"/>
                <w:lang w:val="en-US" w:eastAsia="zh-CN" w:bidi="ar"/>
              </w:rPr>
              <w:t>室外空调冷水管</w:t>
            </w:r>
          </w:p>
        </w:tc>
        <w:tc>
          <w:tcPr>
            <w:tcW w:w="173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default" w:ascii="宋体" w:hAnsi="宋体" w:eastAsia="宋体" w:cs="宋体"/>
                <w:b w:val="0"/>
                <w:bCs w:val="0"/>
                <w:i w:val="0"/>
                <w:iCs w:val="0"/>
                <w:color w:val="000000"/>
                <w:sz w:val="21"/>
                <w:szCs w:val="21"/>
                <w:u w:val="none"/>
                <w:lang w:val="en-US" w:eastAsia="zh-CN"/>
              </w:rPr>
              <w:t xml:space="preserve">739,702.08 </w:t>
            </w:r>
          </w:p>
        </w:tc>
        <w:tc>
          <w:tcPr>
            <w:tcW w:w="180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default" w:ascii="宋体" w:hAnsi="宋体" w:eastAsia="宋体" w:cs="宋体"/>
                <w:b w:val="0"/>
                <w:bCs w:val="0"/>
                <w:i w:val="0"/>
                <w:iCs w:val="0"/>
                <w:color w:val="000000"/>
                <w:sz w:val="21"/>
                <w:szCs w:val="21"/>
                <w:u w:val="none"/>
                <w:lang w:val="en-US" w:eastAsia="zh-CN"/>
              </w:rPr>
              <w:t xml:space="preserve">1,990,165.28 </w:t>
            </w:r>
          </w:p>
        </w:tc>
        <w:tc>
          <w:tcPr>
            <w:tcW w:w="1857"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2</w:t>
            </w:r>
          </w:p>
        </w:tc>
        <w:tc>
          <w:tcPr>
            <w:tcW w:w="349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262626"/>
                <w:kern w:val="0"/>
                <w:sz w:val="21"/>
                <w:szCs w:val="21"/>
                <w:u w:val="none"/>
                <w:lang w:val="en-US" w:eastAsia="zh-CN" w:bidi="ar"/>
              </w:rPr>
            </w:pPr>
            <w:r>
              <w:rPr>
                <w:rFonts w:hint="eastAsia" w:ascii="宋体" w:hAnsi="宋体" w:eastAsia="宋体" w:cs="宋体"/>
                <w:b w:val="0"/>
                <w:bCs w:val="0"/>
                <w:i w:val="0"/>
                <w:iCs w:val="0"/>
                <w:color w:val="262626"/>
                <w:kern w:val="0"/>
                <w:sz w:val="21"/>
                <w:szCs w:val="21"/>
                <w:u w:val="none"/>
                <w:lang w:val="en-US" w:eastAsia="zh-CN" w:bidi="ar"/>
              </w:rPr>
              <w:t>冷站建筑装饰工程</w:t>
            </w:r>
          </w:p>
        </w:tc>
        <w:tc>
          <w:tcPr>
            <w:tcW w:w="173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default" w:ascii="宋体" w:hAnsi="宋体" w:eastAsia="宋体" w:cs="宋体"/>
                <w:b w:val="0"/>
                <w:bCs w:val="0"/>
                <w:i w:val="0"/>
                <w:iCs w:val="0"/>
                <w:color w:val="000000"/>
                <w:sz w:val="21"/>
                <w:szCs w:val="21"/>
                <w:u w:val="none"/>
                <w:lang w:val="en-US" w:eastAsia="zh-CN"/>
              </w:rPr>
              <w:t xml:space="preserve">922,958.65 </w:t>
            </w:r>
          </w:p>
        </w:tc>
        <w:tc>
          <w:tcPr>
            <w:tcW w:w="180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default" w:ascii="宋体" w:hAnsi="宋体" w:eastAsia="宋体" w:cs="宋体"/>
                <w:b w:val="0"/>
                <w:bCs w:val="0"/>
                <w:i w:val="0"/>
                <w:iCs w:val="0"/>
                <w:color w:val="000000"/>
                <w:sz w:val="21"/>
                <w:szCs w:val="21"/>
                <w:u w:val="none"/>
                <w:lang w:val="en-US" w:eastAsia="zh-CN"/>
              </w:rPr>
              <w:t xml:space="preserve">2,480,185.50 </w:t>
            </w:r>
          </w:p>
        </w:tc>
        <w:tc>
          <w:tcPr>
            <w:tcW w:w="1857"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2.1</w:t>
            </w:r>
          </w:p>
        </w:tc>
        <w:tc>
          <w:tcPr>
            <w:tcW w:w="349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262626"/>
                <w:kern w:val="0"/>
                <w:sz w:val="21"/>
                <w:szCs w:val="21"/>
                <w:u w:val="none"/>
                <w:lang w:val="en-US" w:eastAsia="zh-CN" w:bidi="ar"/>
              </w:rPr>
            </w:pPr>
            <w:r>
              <w:rPr>
                <w:rFonts w:hint="eastAsia" w:ascii="宋体" w:hAnsi="宋体" w:eastAsia="宋体" w:cs="宋体"/>
                <w:b w:val="0"/>
                <w:bCs w:val="0"/>
                <w:i w:val="0"/>
                <w:iCs w:val="0"/>
                <w:color w:val="262626"/>
                <w:kern w:val="0"/>
                <w:sz w:val="21"/>
                <w:szCs w:val="21"/>
                <w:u w:val="none"/>
                <w:lang w:val="en-US" w:eastAsia="zh-CN" w:bidi="ar"/>
              </w:rPr>
              <w:t>冷站建筑与装饰工程</w:t>
            </w:r>
          </w:p>
        </w:tc>
        <w:tc>
          <w:tcPr>
            <w:tcW w:w="173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default" w:ascii="宋体" w:hAnsi="宋体" w:eastAsia="宋体" w:cs="宋体"/>
                <w:b w:val="0"/>
                <w:bCs w:val="0"/>
                <w:i w:val="0"/>
                <w:iCs w:val="0"/>
                <w:color w:val="000000"/>
                <w:sz w:val="21"/>
                <w:szCs w:val="21"/>
                <w:u w:val="none"/>
                <w:lang w:val="en-US" w:eastAsia="zh-CN"/>
              </w:rPr>
              <w:t xml:space="preserve">922,958.65 </w:t>
            </w:r>
          </w:p>
        </w:tc>
        <w:tc>
          <w:tcPr>
            <w:tcW w:w="180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default" w:ascii="宋体" w:hAnsi="宋体" w:eastAsia="宋体" w:cs="宋体"/>
                <w:b w:val="0"/>
                <w:bCs w:val="0"/>
                <w:i w:val="0"/>
                <w:iCs w:val="0"/>
                <w:color w:val="000000"/>
                <w:sz w:val="21"/>
                <w:szCs w:val="21"/>
                <w:u w:val="none"/>
                <w:lang w:val="en-US" w:eastAsia="zh-CN"/>
              </w:rPr>
              <w:t xml:space="preserve">2,480,185.50 </w:t>
            </w:r>
          </w:p>
        </w:tc>
        <w:tc>
          <w:tcPr>
            <w:tcW w:w="1857"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3</w:t>
            </w:r>
          </w:p>
        </w:tc>
        <w:tc>
          <w:tcPr>
            <w:tcW w:w="349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262626"/>
                <w:kern w:val="0"/>
                <w:sz w:val="21"/>
                <w:szCs w:val="21"/>
                <w:u w:val="none"/>
                <w:lang w:val="en-US" w:eastAsia="zh-CN" w:bidi="ar"/>
              </w:rPr>
            </w:pPr>
            <w:r>
              <w:rPr>
                <w:rFonts w:hint="eastAsia" w:ascii="宋体" w:hAnsi="宋体" w:eastAsia="宋体" w:cs="宋体"/>
                <w:b w:val="0"/>
                <w:bCs w:val="0"/>
                <w:i w:val="0"/>
                <w:iCs w:val="0"/>
                <w:color w:val="262626"/>
                <w:kern w:val="0"/>
                <w:sz w:val="21"/>
                <w:szCs w:val="21"/>
                <w:u w:val="none"/>
                <w:lang w:val="en-US" w:eastAsia="zh-CN" w:bidi="ar"/>
              </w:rPr>
              <w:t>冷站机电安装工程</w:t>
            </w:r>
          </w:p>
        </w:tc>
        <w:tc>
          <w:tcPr>
            <w:tcW w:w="173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default" w:ascii="宋体" w:hAnsi="宋体" w:eastAsia="宋体" w:cs="宋体"/>
                <w:b w:val="0"/>
                <w:bCs w:val="0"/>
                <w:i w:val="0"/>
                <w:iCs w:val="0"/>
                <w:color w:val="000000"/>
                <w:sz w:val="21"/>
                <w:szCs w:val="21"/>
                <w:u w:val="none"/>
                <w:lang w:val="en-US" w:eastAsia="zh-CN"/>
              </w:rPr>
              <w:t xml:space="preserve">1,448,313.15 </w:t>
            </w:r>
          </w:p>
        </w:tc>
        <w:tc>
          <w:tcPr>
            <w:tcW w:w="180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default" w:ascii="宋体" w:hAnsi="宋体" w:eastAsia="宋体" w:cs="宋体"/>
                <w:b w:val="0"/>
                <w:bCs w:val="0"/>
                <w:i w:val="0"/>
                <w:iCs w:val="0"/>
                <w:color w:val="000000"/>
                <w:sz w:val="21"/>
                <w:szCs w:val="21"/>
                <w:u w:val="none"/>
                <w:lang w:val="en-US" w:eastAsia="zh-CN"/>
              </w:rPr>
              <w:t xml:space="preserve">5,809,828.71 </w:t>
            </w:r>
          </w:p>
        </w:tc>
        <w:tc>
          <w:tcPr>
            <w:tcW w:w="1857"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3.1</w:t>
            </w:r>
          </w:p>
        </w:tc>
        <w:tc>
          <w:tcPr>
            <w:tcW w:w="349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262626"/>
                <w:kern w:val="0"/>
                <w:sz w:val="21"/>
                <w:szCs w:val="21"/>
                <w:u w:val="none"/>
                <w:lang w:val="en-US" w:eastAsia="zh-CN" w:bidi="ar"/>
              </w:rPr>
            </w:pPr>
            <w:r>
              <w:rPr>
                <w:rFonts w:hint="eastAsia" w:ascii="宋体" w:hAnsi="宋体" w:eastAsia="宋体" w:cs="宋体"/>
                <w:b w:val="0"/>
                <w:bCs w:val="0"/>
                <w:i w:val="0"/>
                <w:iCs w:val="0"/>
                <w:color w:val="262626"/>
                <w:kern w:val="0"/>
                <w:sz w:val="21"/>
                <w:szCs w:val="21"/>
                <w:u w:val="none"/>
                <w:lang w:val="en-US" w:eastAsia="zh-CN" w:bidi="ar"/>
              </w:rPr>
              <w:t>高低压配电工程</w:t>
            </w:r>
          </w:p>
        </w:tc>
        <w:tc>
          <w:tcPr>
            <w:tcW w:w="173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default" w:ascii="宋体" w:hAnsi="宋体" w:eastAsia="宋体" w:cs="宋体"/>
                <w:b w:val="0"/>
                <w:bCs w:val="0"/>
                <w:i w:val="0"/>
                <w:iCs w:val="0"/>
                <w:color w:val="000000"/>
                <w:sz w:val="21"/>
                <w:szCs w:val="21"/>
                <w:u w:val="none"/>
                <w:lang w:val="en-US" w:eastAsia="zh-CN"/>
              </w:rPr>
              <w:t xml:space="preserve">122,772.65 </w:t>
            </w:r>
          </w:p>
        </w:tc>
        <w:tc>
          <w:tcPr>
            <w:tcW w:w="180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default" w:ascii="宋体" w:hAnsi="宋体" w:eastAsia="宋体" w:cs="宋体"/>
                <w:b w:val="0"/>
                <w:bCs w:val="0"/>
                <w:i w:val="0"/>
                <w:iCs w:val="0"/>
                <w:color w:val="000000"/>
                <w:sz w:val="21"/>
                <w:szCs w:val="21"/>
                <w:u w:val="none"/>
                <w:lang w:val="en-US" w:eastAsia="zh-CN"/>
              </w:rPr>
              <w:t xml:space="preserve">1,153,533.77 </w:t>
            </w:r>
          </w:p>
        </w:tc>
        <w:tc>
          <w:tcPr>
            <w:tcW w:w="1857"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3.2</w:t>
            </w:r>
          </w:p>
        </w:tc>
        <w:tc>
          <w:tcPr>
            <w:tcW w:w="349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262626"/>
                <w:kern w:val="0"/>
                <w:sz w:val="21"/>
                <w:szCs w:val="21"/>
                <w:u w:val="none"/>
                <w:lang w:val="en-US" w:eastAsia="zh-CN" w:bidi="ar"/>
              </w:rPr>
            </w:pPr>
            <w:r>
              <w:rPr>
                <w:rFonts w:hint="eastAsia" w:ascii="宋体" w:hAnsi="宋体" w:eastAsia="宋体" w:cs="宋体"/>
                <w:b w:val="0"/>
                <w:bCs w:val="0"/>
                <w:i w:val="0"/>
                <w:iCs w:val="0"/>
                <w:color w:val="262626"/>
                <w:kern w:val="0"/>
                <w:sz w:val="21"/>
                <w:szCs w:val="21"/>
                <w:u w:val="none"/>
                <w:lang w:val="en-US" w:eastAsia="zh-CN" w:bidi="ar"/>
              </w:rPr>
              <w:t>无功补偿与谐波治理装置</w:t>
            </w:r>
          </w:p>
        </w:tc>
        <w:tc>
          <w:tcPr>
            <w:tcW w:w="173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default" w:ascii="宋体" w:hAnsi="宋体" w:eastAsia="宋体" w:cs="宋体"/>
                <w:b w:val="0"/>
                <w:bCs w:val="0"/>
                <w:i w:val="0"/>
                <w:iCs w:val="0"/>
                <w:color w:val="000000"/>
                <w:sz w:val="21"/>
                <w:szCs w:val="21"/>
                <w:u w:val="none"/>
                <w:lang w:val="en-US" w:eastAsia="zh-CN"/>
              </w:rPr>
              <w:t xml:space="preserve">8,822.79 </w:t>
            </w:r>
          </w:p>
        </w:tc>
        <w:tc>
          <w:tcPr>
            <w:tcW w:w="180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default" w:ascii="宋体" w:hAnsi="宋体" w:eastAsia="宋体" w:cs="宋体"/>
                <w:b w:val="0"/>
                <w:bCs w:val="0"/>
                <w:i w:val="0"/>
                <w:iCs w:val="0"/>
                <w:color w:val="000000"/>
                <w:sz w:val="21"/>
                <w:szCs w:val="21"/>
                <w:u w:val="none"/>
                <w:lang w:val="en-US" w:eastAsia="zh-CN"/>
              </w:rPr>
              <w:t xml:space="preserve">5,017.66 </w:t>
            </w:r>
          </w:p>
        </w:tc>
        <w:tc>
          <w:tcPr>
            <w:tcW w:w="1857"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3.3</w:t>
            </w:r>
          </w:p>
        </w:tc>
        <w:tc>
          <w:tcPr>
            <w:tcW w:w="349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262626"/>
                <w:kern w:val="0"/>
                <w:sz w:val="21"/>
                <w:szCs w:val="21"/>
                <w:u w:val="none"/>
                <w:lang w:val="en-US" w:eastAsia="zh-CN" w:bidi="ar"/>
              </w:rPr>
            </w:pPr>
            <w:r>
              <w:rPr>
                <w:rFonts w:hint="eastAsia" w:ascii="宋体" w:hAnsi="宋体" w:eastAsia="宋体" w:cs="宋体"/>
                <w:b w:val="0"/>
                <w:bCs w:val="0"/>
                <w:i w:val="0"/>
                <w:iCs w:val="0"/>
                <w:color w:val="262626"/>
                <w:kern w:val="0"/>
                <w:sz w:val="21"/>
                <w:szCs w:val="21"/>
                <w:u w:val="none"/>
                <w:lang w:val="en-US" w:eastAsia="zh-CN" w:bidi="ar"/>
              </w:rPr>
              <w:t>电气工程</w:t>
            </w:r>
          </w:p>
        </w:tc>
        <w:tc>
          <w:tcPr>
            <w:tcW w:w="173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default" w:ascii="宋体" w:hAnsi="宋体" w:eastAsia="宋体" w:cs="宋体"/>
                <w:b w:val="0"/>
                <w:bCs w:val="0"/>
                <w:i w:val="0"/>
                <w:iCs w:val="0"/>
                <w:color w:val="000000"/>
                <w:sz w:val="21"/>
                <w:szCs w:val="21"/>
                <w:u w:val="none"/>
                <w:lang w:val="en-US" w:eastAsia="zh-CN"/>
              </w:rPr>
              <w:t xml:space="preserve">286,860.54 </w:t>
            </w:r>
          </w:p>
        </w:tc>
        <w:tc>
          <w:tcPr>
            <w:tcW w:w="180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default" w:ascii="宋体" w:hAnsi="宋体" w:eastAsia="宋体" w:cs="宋体"/>
                <w:b w:val="0"/>
                <w:bCs w:val="0"/>
                <w:i w:val="0"/>
                <w:iCs w:val="0"/>
                <w:color w:val="000000"/>
                <w:sz w:val="21"/>
                <w:szCs w:val="21"/>
                <w:u w:val="none"/>
                <w:lang w:val="en-US" w:eastAsia="zh-CN"/>
              </w:rPr>
              <w:t xml:space="preserve">662,296.34 </w:t>
            </w:r>
          </w:p>
        </w:tc>
        <w:tc>
          <w:tcPr>
            <w:tcW w:w="1857"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3.4</w:t>
            </w:r>
          </w:p>
        </w:tc>
        <w:tc>
          <w:tcPr>
            <w:tcW w:w="349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火灾自动报警系统工程</w:t>
            </w:r>
          </w:p>
        </w:tc>
        <w:tc>
          <w:tcPr>
            <w:tcW w:w="173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default" w:ascii="宋体" w:hAnsi="宋体" w:eastAsia="宋体" w:cs="宋体"/>
                <w:b w:val="0"/>
                <w:bCs w:val="0"/>
                <w:i w:val="0"/>
                <w:iCs w:val="0"/>
                <w:color w:val="000000"/>
                <w:sz w:val="21"/>
                <w:szCs w:val="21"/>
                <w:u w:val="none"/>
                <w:lang w:val="en-US" w:eastAsia="zh-CN"/>
              </w:rPr>
              <w:t xml:space="preserve">65,600.01 </w:t>
            </w:r>
          </w:p>
        </w:tc>
        <w:tc>
          <w:tcPr>
            <w:tcW w:w="180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default" w:ascii="宋体" w:hAnsi="宋体" w:eastAsia="宋体" w:cs="宋体"/>
                <w:b w:val="0"/>
                <w:bCs w:val="0"/>
                <w:i w:val="0"/>
                <w:iCs w:val="0"/>
                <w:color w:val="000000"/>
                <w:sz w:val="21"/>
                <w:szCs w:val="21"/>
                <w:u w:val="none"/>
                <w:lang w:val="en-US" w:eastAsia="zh-CN"/>
              </w:rPr>
              <w:t xml:space="preserve">99,236.00 </w:t>
            </w:r>
          </w:p>
        </w:tc>
        <w:tc>
          <w:tcPr>
            <w:tcW w:w="1857"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3.5</w:t>
            </w:r>
          </w:p>
        </w:tc>
        <w:tc>
          <w:tcPr>
            <w:tcW w:w="349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弱电智能化工程</w:t>
            </w:r>
          </w:p>
        </w:tc>
        <w:tc>
          <w:tcPr>
            <w:tcW w:w="173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default" w:ascii="宋体" w:hAnsi="宋体" w:eastAsia="宋体" w:cs="宋体"/>
                <w:b w:val="0"/>
                <w:bCs w:val="0"/>
                <w:i w:val="0"/>
                <w:iCs w:val="0"/>
                <w:color w:val="000000"/>
                <w:sz w:val="21"/>
                <w:szCs w:val="21"/>
                <w:u w:val="none"/>
                <w:lang w:val="en-US" w:eastAsia="zh-CN"/>
              </w:rPr>
              <w:t xml:space="preserve">194,500.44 </w:t>
            </w:r>
          </w:p>
        </w:tc>
        <w:tc>
          <w:tcPr>
            <w:tcW w:w="180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default" w:ascii="宋体" w:hAnsi="宋体" w:eastAsia="宋体" w:cs="宋体"/>
                <w:b w:val="0"/>
                <w:bCs w:val="0"/>
                <w:i w:val="0"/>
                <w:iCs w:val="0"/>
                <w:color w:val="000000"/>
                <w:sz w:val="21"/>
                <w:szCs w:val="21"/>
                <w:u w:val="none"/>
                <w:lang w:val="en-US" w:eastAsia="zh-CN"/>
              </w:rPr>
              <w:t xml:space="preserve">251,515.03 </w:t>
            </w:r>
          </w:p>
        </w:tc>
        <w:tc>
          <w:tcPr>
            <w:tcW w:w="1857"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3.6</w:t>
            </w:r>
          </w:p>
        </w:tc>
        <w:tc>
          <w:tcPr>
            <w:tcW w:w="349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给排水工程</w:t>
            </w:r>
          </w:p>
        </w:tc>
        <w:tc>
          <w:tcPr>
            <w:tcW w:w="173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default" w:ascii="宋体" w:hAnsi="宋体" w:eastAsia="宋体" w:cs="宋体"/>
                <w:b w:val="0"/>
                <w:bCs w:val="0"/>
                <w:i w:val="0"/>
                <w:iCs w:val="0"/>
                <w:color w:val="000000"/>
                <w:sz w:val="21"/>
                <w:szCs w:val="21"/>
                <w:u w:val="none"/>
                <w:lang w:val="en-US" w:eastAsia="zh-CN"/>
              </w:rPr>
              <w:t xml:space="preserve">20,101.75 </w:t>
            </w:r>
          </w:p>
        </w:tc>
        <w:tc>
          <w:tcPr>
            <w:tcW w:w="180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default" w:ascii="宋体" w:hAnsi="宋体" w:eastAsia="宋体" w:cs="宋体"/>
                <w:b w:val="0"/>
                <w:bCs w:val="0"/>
                <w:i w:val="0"/>
                <w:iCs w:val="0"/>
                <w:color w:val="000000"/>
                <w:sz w:val="21"/>
                <w:szCs w:val="21"/>
                <w:u w:val="none"/>
                <w:lang w:val="en-US" w:eastAsia="zh-CN"/>
              </w:rPr>
              <w:t xml:space="preserve">38,628.34 </w:t>
            </w:r>
          </w:p>
        </w:tc>
        <w:tc>
          <w:tcPr>
            <w:tcW w:w="1857"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3.7</w:t>
            </w:r>
          </w:p>
        </w:tc>
        <w:tc>
          <w:tcPr>
            <w:tcW w:w="349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消防喷淋及气体灭火工程</w:t>
            </w:r>
          </w:p>
        </w:tc>
        <w:tc>
          <w:tcPr>
            <w:tcW w:w="173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default" w:ascii="宋体" w:hAnsi="宋体" w:eastAsia="宋体" w:cs="宋体"/>
                <w:b w:val="0"/>
                <w:bCs w:val="0"/>
                <w:i w:val="0"/>
                <w:iCs w:val="0"/>
                <w:color w:val="000000"/>
                <w:sz w:val="21"/>
                <w:szCs w:val="21"/>
                <w:u w:val="none"/>
                <w:lang w:val="en-US" w:eastAsia="zh-CN"/>
              </w:rPr>
              <w:t xml:space="preserve">71,253.30 </w:t>
            </w:r>
          </w:p>
        </w:tc>
        <w:tc>
          <w:tcPr>
            <w:tcW w:w="180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default" w:ascii="宋体" w:hAnsi="宋体" w:eastAsia="宋体" w:cs="宋体"/>
                <w:b w:val="0"/>
                <w:bCs w:val="0"/>
                <w:i w:val="0"/>
                <w:iCs w:val="0"/>
                <w:color w:val="000000"/>
                <w:sz w:val="21"/>
                <w:szCs w:val="21"/>
                <w:u w:val="none"/>
                <w:lang w:val="en-US" w:eastAsia="zh-CN"/>
              </w:rPr>
              <w:t xml:space="preserve">152,944.51 </w:t>
            </w:r>
          </w:p>
        </w:tc>
        <w:tc>
          <w:tcPr>
            <w:tcW w:w="1857"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3.8</w:t>
            </w:r>
          </w:p>
        </w:tc>
        <w:tc>
          <w:tcPr>
            <w:tcW w:w="349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通风空调工程</w:t>
            </w:r>
          </w:p>
        </w:tc>
        <w:tc>
          <w:tcPr>
            <w:tcW w:w="173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default" w:ascii="宋体" w:hAnsi="宋体" w:eastAsia="宋体" w:cs="宋体"/>
                <w:b w:val="0"/>
                <w:bCs w:val="0"/>
                <w:i w:val="0"/>
                <w:iCs w:val="0"/>
                <w:color w:val="000000"/>
                <w:sz w:val="21"/>
                <w:szCs w:val="21"/>
                <w:u w:val="none"/>
                <w:lang w:val="en-US" w:eastAsia="zh-CN"/>
              </w:rPr>
              <w:t xml:space="preserve">72,238.00 </w:t>
            </w:r>
          </w:p>
        </w:tc>
        <w:tc>
          <w:tcPr>
            <w:tcW w:w="180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default" w:ascii="宋体" w:hAnsi="宋体" w:eastAsia="宋体" w:cs="宋体"/>
                <w:b w:val="0"/>
                <w:bCs w:val="0"/>
                <w:i w:val="0"/>
                <w:iCs w:val="0"/>
                <w:color w:val="000000"/>
                <w:sz w:val="21"/>
                <w:szCs w:val="21"/>
                <w:u w:val="none"/>
                <w:lang w:val="en-US" w:eastAsia="zh-CN"/>
              </w:rPr>
              <w:t xml:space="preserve">158,133.67 </w:t>
            </w:r>
          </w:p>
        </w:tc>
        <w:tc>
          <w:tcPr>
            <w:tcW w:w="1857"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3.9</w:t>
            </w:r>
          </w:p>
        </w:tc>
        <w:tc>
          <w:tcPr>
            <w:tcW w:w="349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冷站工程</w:t>
            </w:r>
          </w:p>
        </w:tc>
        <w:tc>
          <w:tcPr>
            <w:tcW w:w="173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default" w:ascii="宋体" w:hAnsi="宋体" w:eastAsia="宋体" w:cs="宋体"/>
                <w:b w:val="0"/>
                <w:bCs w:val="0"/>
                <w:i w:val="0"/>
                <w:iCs w:val="0"/>
                <w:color w:val="000000"/>
                <w:sz w:val="21"/>
                <w:szCs w:val="21"/>
                <w:u w:val="none"/>
                <w:lang w:val="en-US" w:eastAsia="zh-CN"/>
              </w:rPr>
              <w:t xml:space="preserve">606,163.67 </w:t>
            </w:r>
          </w:p>
        </w:tc>
        <w:tc>
          <w:tcPr>
            <w:tcW w:w="180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default" w:ascii="宋体" w:hAnsi="宋体" w:eastAsia="宋体" w:cs="宋体"/>
                <w:b w:val="0"/>
                <w:bCs w:val="0"/>
                <w:i w:val="0"/>
                <w:iCs w:val="0"/>
                <w:color w:val="000000"/>
                <w:sz w:val="21"/>
                <w:szCs w:val="21"/>
                <w:u w:val="none"/>
                <w:lang w:val="en-US" w:eastAsia="zh-CN"/>
              </w:rPr>
              <w:t xml:space="preserve">3,288,523.39 </w:t>
            </w:r>
          </w:p>
        </w:tc>
        <w:tc>
          <w:tcPr>
            <w:tcW w:w="1857"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sz w:val="21"/>
                <w:szCs w:val="21"/>
                <w:u w:val="none"/>
              </w:rPr>
              <w:t>4</w:t>
            </w:r>
            <w:r>
              <w:rPr>
                <w:rFonts w:hint="eastAsia" w:ascii="宋体" w:hAnsi="宋体" w:eastAsia="宋体" w:cs="宋体"/>
                <w:b w:val="0"/>
                <w:bCs w:val="0"/>
                <w:i w:val="0"/>
                <w:iCs w:val="0"/>
                <w:color w:val="000000"/>
                <w:kern w:val="0"/>
                <w:sz w:val="21"/>
                <w:szCs w:val="21"/>
                <w:u w:val="none"/>
                <w:lang w:val="en-US" w:eastAsia="zh-CN" w:bidi="ar"/>
              </w:rPr>
              <w:t>,</w:t>
            </w:r>
            <w:r>
              <w:rPr>
                <w:rFonts w:hint="eastAsia" w:ascii="宋体" w:hAnsi="宋体" w:eastAsia="宋体" w:cs="宋体"/>
                <w:b w:val="0"/>
                <w:bCs w:val="0"/>
                <w:i w:val="0"/>
                <w:iCs w:val="0"/>
                <w:color w:val="000000"/>
                <w:sz w:val="21"/>
                <w:szCs w:val="21"/>
                <w:u w:val="none"/>
              </w:rPr>
              <w:t>587</w:t>
            </w:r>
            <w:r>
              <w:rPr>
                <w:rFonts w:hint="eastAsia" w:ascii="宋体" w:hAnsi="宋体" w:eastAsia="宋体" w:cs="宋体"/>
                <w:b w:val="0"/>
                <w:bCs w:val="0"/>
                <w:i w:val="0"/>
                <w:iCs w:val="0"/>
                <w:color w:val="000000"/>
                <w:kern w:val="0"/>
                <w:sz w:val="21"/>
                <w:szCs w:val="21"/>
                <w:u w:val="none"/>
                <w:lang w:val="en-US" w:eastAsia="zh-CN" w:bidi="ar"/>
              </w:rPr>
              <w:t>,</w:t>
            </w:r>
            <w:r>
              <w:rPr>
                <w:rFonts w:hint="eastAsia" w:ascii="宋体" w:hAnsi="宋体" w:eastAsia="宋体" w:cs="宋体"/>
                <w:b w:val="0"/>
                <w:bCs w:val="0"/>
                <w:i w:val="0"/>
                <w:iCs w:val="0"/>
                <w:color w:val="000000"/>
                <w:sz w:val="21"/>
                <w:szCs w:val="21"/>
                <w:u w:val="none"/>
              </w:rPr>
              <w:t>155.96</w:t>
            </w:r>
          </w:p>
        </w:tc>
      </w:tr>
      <w:bookmarkEnd w:id="1"/>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4</w:t>
            </w:r>
          </w:p>
        </w:tc>
        <w:tc>
          <w:tcPr>
            <w:tcW w:w="349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冷罐</w:t>
            </w:r>
          </w:p>
        </w:tc>
        <w:tc>
          <w:tcPr>
            <w:tcW w:w="173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default" w:ascii="宋体" w:hAnsi="宋体" w:eastAsia="宋体" w:cs="宋体"/>
                <w:b w:val="0"/>
                <w:bCs w:val="0"/>
                <w:i w:val="0"/>
                <w:iCs w:val="0"/>
                <w:color w:val="000000"/>
                <w:sz w:val="21"/>
                <w:szCs w:val="21"/>
                <w:u w:val="none"/>
                <w:lang w:val="en-US" w:eastAsia="zh-CN"/>
              </w:rPr>
              <w:t xml:space="preserve">834,744.00 </w:t>
            </w:r>
          </w:p>
        </w:tc>
        <w:tc>
          <w:tcPr>
            <w:tcW w:w="180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default" w:ascii="宋体" w:hAnsi="宋体" w:eastAsia="宋体" w:cs="宋体"/>
                <w:b w:val="0"/>
                <w:bCs w:val="0"/>
                <w:i w:val="0"/>
                <w:iCs w:val="0"/>
                <w:color w:val="000000"/>
                <w:sz w:val="21"/>
                <w:szCs w:val="21"/>
                <w:u w:val="none"/>
                <w:lang w:val="en-US" w:eastAsia="zh-CN"/>
              </w:rPr>
              <w:t xml:space="preserve">3,986,080.96 </w:t>
            </w:r>
          </w:p>
        </w:tc>
        <w:tc>
          <w:tcPr>
            <w:tcW w:w="1857"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4.1</w:t>
            </w:r>
          </w:p>
        </w:tc>
        <w:tc>
          <w:tcPr>
            <w:tcW w:w="349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冷罐基础</w:t>
            </w:r>
          </w:p>
        </w:tc>
        <w:tc>
          <w:tcPr>
            <w:tcW w:w="173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default" w:ascii="宋体" w:hAnsi="宋体" w:eastAsia="宋体" w:cs="宋体"/>
                <w:b w:val="0"/>
                <w:bCs w:val="0"/>
                <w:i w:val="0"/>
                <w:iCs w:val="0"/>
                <w:color w:val="000000"/>
                <w:sz w:val="21"/>
                <w:szCs w:val="21"/>
                <w:u w:val="none"/>
                <w:lang w:val="en-US" w:eastAsia="zh-CN"/>
              </w:rPr>
              <w:t xml:space="preserve">648,381.96 </w:t>
            </w:r>
          </w:p>
        </w:tc>
        <w:tc>
          <w:tcPr>
            <w:tcW w:w="180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default" w:ascii="宋体" w:hAnsi="宋体" w:eastAsia="宋体" w:cs="宋体"/>
                <w:b w:val="0"/>
                <w:bCs w:val="0"/>
                <w:i w:val="0"/>
                <w:iCs w:val="0"/>
                <w:color w:val="000000"/>
                <w:sz w:val="21"/>
                <w:szCs w:val="21"/>
                <w:u w:val="none"/>
                <w:lang w:val="en-US" w:eastAsia="zh-CN"/>
              </w:rPr>
              <w:t xml:space="preserve">1,381,076.14 </w:t>
            </w:r>
          </w:p>
        </w:tc>
        <w:tc>
          <w:tcPr>
            <w:tcW w:w="1857"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4.2</w:t>
            </w:r>
          </w:p>
        </w:tc>
        <w:tc>
          <w:tcPr>
            <w:tcW w:w="349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冷罐</w:t>
            </w:r>
          </w:p>
        </w:tc>
        <w:tc>
          <w:tcPr>
            <w:tcW w:w="173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default" w:ascii="宋体" w:hAnsi="宋体" w:eastAsia="宋体" w:cs="宋体"/>
                <w:b w:val="0"/>
                <w:bCs w:val="0"/>
                <w:i w:val="0"/>
                <w:iCs w:val="0"/>
                <w:color w:val="000000"/>
                <w:sz w:val="21"/>
                <w:szCs w:val="21"/>
                <w:u w:val="none"/>
                <w:lang w:val="en-US" w:eastAsia="zh-CN"/>
              </w:rPr>
              <w:t xml:space="preserve">186,362.04 </w:t>
            </w:r>
          </w:p>
        </w:tc>
        <w:tc>
          <w:tcPr>
            <w:tcW w:w="180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default" w:ascii="宋体" w:hAnsi="宋体" w:eastAsia="宋体" w:cs="宋体"/>
                <w:b w:val="0"/>
                <w:bCs w:val="0"/>
                <w:i w:val="0"/>
                <w:iCs w:val="0"/>
                <w:color w:val="000000"/>
                <w:sz w:val="21"/>
                <w:szCs w:val="21"/>
                <w:u w:val="none"/>
                <w:lang w:val="en-US" w:eastAsia="zh-CN"/>
              </w:rPr>
              <w:t xml:space="preserve">2,605,004.82 </w:t>
            </w:r>
          </w:p>
        </w:tc>
        <w:tc>
          <w:tcPr>
            <w:tcW w:w="1857"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5</w:t>
            </w:r>
          </w:p>
        </w:tc>
        <w:tc>
          <w:tcPr>
            <w:tcW w:w="349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室外配套工程</w:t>
            </w:r>
          </w:p>
        </w:tc>
        <w:tc>
          <w:tcPr>
            <w:tcW w:w="173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default" w:ascii="宋体" w:hAnsi="宋体" w:eastAsia="宋体" w:cs="宋体"/>
                <w:b w:val="0"/>
                <w:bCs w:val="0"/>
                <w:i w:val="0"/>
                <w:iCs w:val="0"/>
                <w:color w:val="000000"/>
                <w:sz w:val="21"/>
                <w:szCs w:val="21"/>
                <w:u w:val="none"/>
                <w:lang w:val="en-US" w:eastAsia="zh-CN"/>
              </w:rPr>
              <w:t xml:space="preserve">389,915.30 </w:t>
            </w:r>
          </w:p>
        </w:tc>
        <w:tc>
          <w:tcPr>
            <w:tcW w:w="180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default" w:ascii="宋体" w:hAnsi="宋体" w:eastAsia="宋体" w:cs="宋体"/>
                <w:b w:val="0"/>
                <w:bCs w:val="0"/>
                <w:i w:val="0"/>
                <w:iCs w:val="0"/>
                <w:color w:val="000000"/>
                <w:sz w:val="21"/>
                <w:szCs w:val="21"/>
                <w:u w:val="none"/>
                <w:lang w:val="en-US" w:eastAsia="zh-CN"/>
              </w:rPr>
              <w:t xml:space="preserve">1,000,990.76 </w:t>
            </w:r>
          </w:p>
        </w:tc>
        <w:tc>
          <w:tcPr>
            <w:tcW w:w="1857"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5.1</w:t>
            </w:r>
          </w:p>
        </w:tc>
        <w:tc>
          <w:tcPr>
            <w:tcW w:w="349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室外景观和道路工程</w:t>
            </w:r>
          </w:p>
        </w:tc>
        <w:tc>
          <w:tcPr>
            <w:tcW w:w="173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default" w:ascii="宋体" w:hAnsi="宋体" w:eastAsia="宋体" w:cs="宋体"/>
                <w:b w:val="0"/>
                <w:bCs w:val="0"/>
                <w:i w:val="0"/>
                <w:iCs w:val="0"/>
                <w:color w:val="000000"/>
                <w:sz w:val="21"/>
                <w:szCs w:val="21"/>
                <w:u w:val="none"/>
                <w:lang w:val="en-US" w:eastAsia="zh-CN"/>
              </w:rPr>
              <w:t xml:space="preserve">142,882.15 </w:t>
            </w:r>
          </w:p>
        </w:tc>
        <w:tc>
          <w:tcPr>
            <w:tcW w:w="180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default" w:ascii="宋体" w:hAnsi="宋体" w:eastAsia="宋体" w:cs="宋体"/>
                <w:b w:val="0"/>
                <w:bCs w:val="0"/>
                <w:i w:val="0"/>
                <w:iCs w:val="0"/>
                <w:color w:val="000000"/>
                <w:sz w:val="21"/>
                <w:szCs w:val="21"/>
                <w:u w:val="none"/>
                <w:lang w:val="en-US" w:eastAsia="zh-CN"/>
              </w:rPr>
              <w:t xml:space="preserve">403,799.74 </w:t>
            </w:r>
          </w:p>
        </w:tc>
        <w:tc>
          <w:tcPr>
            <w:tcW w:w="1857"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5.2</w:t>
            </w:r>
          </w:p>
        </w:tc>
        <w:tc>
          <w:tcPr>
            <w:tcW w:w="349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景观电气工程</w:t>
            </w:r>
          </w:p>
        </w:tc>
        <w:tc>
          <w:tcPr>
            <w:tcW w:w="173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default" w:ascii="宋体" w:hAnsi="宋体" w:eastAsia="宋体" w:cs="宋体"/>
                <w:b w:val="0"/>
                <w:bCs w:val="0"/>
                <w:i w:val="0"/>
                <w:iCs w:val="0"/>
                <w:color w:val="000000"/>
                <w:sz w:val="21"/>
                <w:szCs w:val="21"/>
                <w:u w:val="none"/>
                <w:lang w:val="en-US" w:eastAsia="zh-CN"/>
              </w:rPr>
              <w:t xml:space="preserve">21,024.98 </w:t>
            </w:r>
          </w:p>
        </w:tc>
        <w:tc>
          <w:tcPr>
            <w:tcW w:w="180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default" w:ascii="宋体" w:hAnsi="宋体" w:eastAsia="宋体" w:cs="宋体"/>
                <w:b w:val="0"/>
                <w:bCs w:val="0"/>
                <w:i w:val="0"/>
                <w:iCs w:val="0"/>
                <w:color w:val="000000"/>
                <w:sz w:val="21"/>
                <w:szCs w:val="21"/>
                <w:u w:val="none"/>
                <w:lang w:val="en-US" w:eastAsia="zh-CN"/>
              </w:rPr>
              <w:t xml:space="preserve">27,589.31 </w:t>
            </w:r>
          </w:p>
        </w:tc>
        <w:tc>
          <w:tcPr>
            <w:tcW w:w="1857"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5.3</w:t>
            </w:r>
          </w:p>
        </w:tc>
        <w:tc>
          <w:tcPr>
            <w:tcW w:w="349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绿化工程</w:t>
            </w:r>
          </w:p>
        </w:tc>
        <w:tc>
          <w:tcPr>
            <w:tcW w:w="173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default" w:ascii="宋体" w:hAnsi="宋体" w:eastAsia="宋体" w:cs="宋体"/>
                <w:b w:val="0"/>
                <w:bCs w:val="0"/>
                <w:i w:val="0"/>
                <w:iCs w:val="0"/>
                <w:color w:val="000000"/>
                <w:sz w:val="21"/>
                <w:szCs w:val="21"/>
                <w:u w:val="none"/>
                <w:lang w:val="en-US" w:eastAsia="zh-CN"/>
              </w:rPr>
              <w:t xml:space="preserve">2,354.05 </w:t>
            </w:r>
          </w:p>
        </w:tc>
        <w:tc>
          <w:tcPr>
            <w:tcW w:w="180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default" w:ascii="宋体" w:hAnsi="宋体" w:eastAsia="宋体" w:cs="宋体"/>
                <w:b w:val="0"/>
                <w:bCs w:val="0"/>
                <w:i w:val="0"/>
                <w:iCs w:val="0"/>
                <w:color w:val="000000"/>
                <w:sz w:val="21"/>
                <w:szCs w:val="21"/>
                <w:u w:val="none"/>
                <w:lang w:val="en-US" w:eastAsia="zh-CN"/>
              </w:rPr>
              <w:t xml:space="preserve">6,285.50 </w:t>
            </w:r>
          </w:p>
        </w:tc>
        <w:tc>
          <w:tcPr>
            <w:tcW w:w="1857"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5.4</w:t>
            </w:r>
          </w:p>
        </w:tc>
        <w:tc>
          <w:tcPr>
            <w:tcW w:w="349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绿化灌溉工程</w:t>
            </w:r>
          </w:p>
        </w:tc>
        <w:tc>
          <w:tcPr>
            <w:tcW w:w="173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default" w:ascii="宋体" w:hAnsi="宋体" w:eastAsia="宋体" w:cs="宋体"/>
                <w:b w:val="0"/>
                <w:bCs w:val="0"/>
                <w:i w:val="0"/>
                <w:iCs w:val="0"/>
                <w:color w:val="000000"/>
                <w:sz w:val="21"/>
                <w:szCs w:val="21"/>
                <w:u w:val="none"/>
                <w:lang w:val="en-US" w:eastAsia="zh-CN"/>
              </w:rPr>
              <w:t xml:space="preserve">2,968.88 </w:t>
            </w:r>
          </w:p>
        </w:tc>
        <w:tc>
          <w:tcPr>
            <w:tcW w:w="180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default" w:ascii="宋体" w:hAnsi="宋体" w:eastAsia="宋体" w:cs="宋体"/>
                <w:b w:val="0"/>
                <w:bCs w:val="0"/>
                <w:i w:val="0"/>
                <w:iCs w:val="0"/>
                <w:color w:val="000000"/>
                <w:sz w:val="21"/>
                <w:szCs w:val="21"/>
                <w:u w:val="none"/>
                <w:lang w:val="en-US" w:eastAsia="zh-CN"/>
              </w:rPr>
              <w:t xml:space="preserve">2,751.55 </w:t>
            </w:r>
          </w:p>
        </w:tc>
        <w:tc>
          <w:tcPr>
            <w:tcW w:w="1857"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5.5</w:t>
            </w:r>
          </w:p>
        </w:tc>
        <w:tc>
          <w:tcPr>
            <w:tcW w:w="349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室外机电工程</w:t>
            </w:r>
          </w:p>
        </w:tc>
        <w:tc>
          <w:tcPr>
            <w:tcW w:w="173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default" w:ascii="宋体" w:hAnsi="宋体" w:eastAsia="宋体" w:cs="宋体"/>
                <w:b w:val="0"/>
                <w:bCs w:val="0"/>
                <w:i w:val="0"/>
                <w:iCs w:val="0"/>
                <w:color w:val="000000"/>
                <w:sz w:val="21"/>
                <w:szCs w:val="21"/>
                <w:u w:val="none"/>
                <w:lang w:val="en-US" w:eastAsia="zh-CN"/>
              </w:rPr>
              <w:t xml:space="preserve">202,240.87 </w:t>
            </w:r>
          </w:p>
        </w:tc>
        <w:tc>
          <w:tcPr>
            <w:tcW w:w="180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default" w:ascii="宋体" w:hAnsi="宋体" w:eastAsia="宋体" w:cs="宋体"/>
                <w:b w:val="0"/>
                <w:bCs w:val="0"/>
                <w:i w:val="0"/>
                <w:iCs w:val="0"/>
                <w:color w:val="000000"/>
                <w:sz w:val="21"/>
                <w:szCs w:val="21"/>
                <w:u w:val="none"/>
                <w:lang w:val="en-US" w:eastAsia="zh-CN"/>
              </w:rPr>
              <w:t xml:space="preserve">519,736.00 </w:t>
            </w:r>
          </w:p>
        </w:tc>
        <w:tc>
          <w:tcPr>
            <w:tcW w:w="1857"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5.6</w:t>
            </w:r>
          </w:p>
        </w:tc>
        <w:tc>
          <w:tcPr>
            <w:tcW w:w="349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标识工程</w:t>
            </w:r>
          </w:p>
        </w:tc>
        <w:tc>
          <w:tcPr>
            <w:tcW w:w="173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default" w:ascii="宋体" w:hAnsi="宋体" w:eastAsia="宋体" w:cs="宋体"/>
                <w:b w:val="0"/>
                <w:bCs w:val="0"/>
                <w:i w:val="0"/>
                <w:iCs w:val="0"/>
                <w:color w:val="000000"/>
                <w:sz w:val="21"/>
                <w:szCs w:val="21"/>
                <w:u w:val="none"/>
                <w:lang w:val="en-US" w:eastAsia="zh-CN"/>
              </w:rPr>
              <w:t xml:space="preserve">1,089.29 </w:t>
            </w:r>
          </w:p>
        </w:tc>
        <w:tc>
          <w:tcPr>
            <w:tcW w:w="180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default" w:ascii="宋体" w:hAnsi="宋体" w:eastAsia="宋体" w:cs="宋体"/>
                <w:b w:val="0"/>
                <w:bCs w:val="0"/>
                <w:i w:val="0"/>
                <w:iCs w:val="0"/>
                <w:color w:val="000000"/>
                <w:sz w:val="21"/>
                <w:szCs w:val="21"/>
                <w:u w:val="none"/>
                <w:lang w:val="en-US" w:eastAsia="zh-CN"/>
              </w:rPr>
              <w:t xml:space="preserve">1,365.63 </w:t>
            </w:r>
          </w:p>
        </w:tc>
        <w:tc>
          <w:tcPr>
            <w:tcW w:w="1857"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5.7</w:t>
            </w:r>
          </w:p>
        </w:tc>
        <w:tc>
          <w:tcPr>
            <w:tcW w:w="349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围墙</w:t>
            </w:r>
          </w:p>
        </w:tc>
        <w:tc>
          <w:tcPr>
            <w:tcW w:w="1734"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default" w:ascii="宋体" w:hAnsi="宋体" w:eastAsia="宋体" w:cs="宋体"/>
                <w:b w:val="0"/>
                <w:bCs w:val="0"/>
                <w:i w:val="0"/>
                <w:iCs w:val="0"/>
                <w:color w:val="000000"/>
                <w:sz w:val="21"/>
                <w:szCs w:val="21"/>
                <w:u w:val="none"/>
                <w:lang w:val="en-US" w:eastAsia="zh-CN"/>
              </w:rPr>
              <w:t xml:space="preserve">17,355.08 </w:t>
            </w:r>
          </w:p>
        </w:tc>
        <w:tc>
          <w:tcPr>
            <w:tcW w:w="1800"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default" w:ascii="宋体" w:hAnsi="宋体" w:eastAsia="宋体" w:cs="宋体"/>
                <w:b w:val="0"/>
                <w:bCs w:val="0"/>
                <w:i w:val="0"/>
                <w:iCs w:val="0"/>
                <w:color w:val="000000"/>
                <w:sz w:val="21"/>
                <w:szCs w:val="21"/>
                <w:u w:val="none"/>
                <w:lang w:val="en-US" w:eastAsia="zh-CN"/>
              </w:rPr>
              <w:t xml:space="preserve">39,463.03 </w:t>
            </w:r>
          </w:p>
        </w:tc>
        <w:tc>
          <w:tcPr>
            <w:tcW w:w="1857"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textAlignment w:val="auto"/>
        <w:outlineLvl w:val="9"/>
        <w:rPr>
          <w:rFonts w:hint="eastAsia" w:ascii="宋体" w:hAnsi="宋体" w:eastAsia="宋体" w:cs="宋体"/>
          <w:b w:val="0"/>
          <w:bCs w:val="0"/>
          <w:color w:val="auto"/>
          <w:sz w:val="21"/>
          <w:szCs w:val="21"/>
          <w:highlight w:val="none"/>
          <w:lang w:val="en-US" w:eastAsia="zh-CN"/>
        </w:rPr>
      </w:pPr>
    </w:p>
    <w:sectPr>
      <w:headerReference r:id="rId3" w:type="default"/>
      <w:footerReference r:id="rId4" w:type="default"/>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p>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rFonts w:hint="eastAsia"/>
        <w:i/>
        <w:iCs/>
      </w:rPr>
    </w:pPr>
    <w:r>
      <w:rPr>
        <w:rFonts w:hint="eastAsia"/>
        <w:i/>
        <w:iCs/>
      </w:rPr>
      <w:t>广州白云国际机场三期扩建工程</w:t>
    </w:r>
    <w:r>
      <w:rPr>
        <w:rFonts w:hint="default"/>
        <w:i/>
        <w:iCs/>
      </w:rPr>
      <w:t>配套供冷</w:t>
    </w:r>
    <w:r>
      <w:rPr>
        <w:rFonts w:hint="eastAsia"/>
        <w:i/>
        <w:iCs/>
      </w:rPr>
      <w:t>工程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1"/>
      <w:numFmt w:val="decimal"/>
      <w:pStyle w:val="3"/>
      <w:lvlText w:val="%1."/>
      <w:legacy w:legacy="1" w:legacySpace="144" w:legacyIndent="0"/>
      <w:lvlJc w:val="left"/>
    </w:lvl>
    <w:lvl w:ilvl="1" w:tentative="0">
      <w:start w:val="1"/>
      <w:numFmt w:val="decimal"/>
      <w:lvlText w:val="%1.%2"/>
      <w:legacy w:legacy="1" w:legacySpace="144" w:legacyIndent="0"/>
      <w:lvlJc w:val="left"/>
    </w:lvl>
    <w:lvl w:ilvl="2" w:tentative="0">
      <w:start w:val="1"/>
      <w:numFmt w:val="decimal"/>
      <w:lvlText w:val="%1.%2.%3"/>
      <w:legacy w:legacy="1" w:legacySpace="144" w:legacyIndent="0"/>
      <w:lvlJc w:val="left"/>
    </w:lvl>
    <w:lvl w:ilvl="3" w:tentative="0">
      <w:start w:val="1"/>
      <w:numFmt w:val="decimal"/>
      <w:lvlText w:val="%1.%2.%3.%4"/>
      <w:legacy w:legacy="1" w:legacySpace="144" w:legacyIndent="0"/>
      <w:lvlJc w:val="left"/>
    </w:lvl>
    <w:lvl w:ilvl="4" w:tentative="0">
      <w:start w:val="1"/>
      <w:numFmt w:val="decimal"/>
      <w:lvlText w:val="%1.%2.%3.%4.%5"/>
      <w:legacy w:legacy="1" w:legacySpace="144" w:legacyIndent="0"/>
      <w:lvlJc w:val="left"/>
    </w:lvl>
    <w:lvl w:ilvl="5" w:tentative="0">
      <w:start w:val="1"/>
      <w:numFmt w:val="decimal"/>
      <w:lvlText w:val="%1.%2.%3.%4.%5.%6"/>
      <w:legacy w:legacy="1" w:legacySpace="144" w:legacyIndent="0"/>
      <w:lvlJc w:val="left"/>
    </w:lvl>
    <w:lvl w:ilvl="6" w:tentative="0">
      <w:start w:val="1"/>
      <w:numFmt w:val="decimal"/>
      <w:lvlText w:val="%1.%2.%3.%4.%5.%6.%7"/>
      <w:legacy w:legacy="1" w:legacySpace="144" w:legacyIndent="0"/>
      <w:lvlJc w:val="left"/>
    </w:lvl>
    <w:lvl w:ilvl="7" w:tentative="0">
      <w:start w:val="1"/>
      <w:numFmt w:val="decimal"/>
      <w:lvlText w:val="%1.%2.%3.%4.%5.%6.%7.%8"/>
      <w:legacy w:legacy="1" w:legacySpace="144" w:legacyIndent="0"/>
      <w:lvlJc w:val="left"/>
    </w:lvl>
    <w:lvl w:ilvl="8" w:tentative="0">
      <w:start w:val="1"/>
      <w:numFmt w:val="decimal"/>
      <w:lvlText w:val="%1.%2.%3.%4.%5.%6.%7.%8.%9"/>
      <w:legacy w:legacy="1" w:legacySpace="144" w:legacyIndent="0"/>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5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WYzNTExMGVmMDlmYThlNTFiZTMwYmYzYjY4NTdhNjEifQ=="/>
  </w:docVars>
  <w:rsids>
    <w:rsidRoot w:val="00B9511C"/>
    <w:rsid w:val="000C4B33"/>
    <w:rsid w:val="001513FB"/>
    <w:rsid w:val="00184A74"/>
    <w:rsid w:val="00193C66"/>
    <w:rsid w:val="0026685B"/>
    <w:rsid w:val="002B5D04"/>
    <w:rsid w:val="002D52CB"/>
    <w:rsid w:val="003A14F0"/>
    <w:rsid w:val="003D1037"/>
    <w:rsid w:val="003E3DDF"/>
    <w:rsid w:val="004277C9"/>
    <w:rsid w:val="0045780C"/>
    <w:rsid w:val="00484A60"/>
    <w:rsid w:val="004E274E"/>
    <w:rsid w:val="004F7BE9"/>
    <w:rsid w:val="00513252"/>
    <w:rsid w:val="005224D9"/>
    <w:rsid w:val="00527E7F"/>
    <w:rsid w:val="005378C7"/>
    <w:rsid w:val="005660A0"/>
    <w:rsid w:val="00585C6D"/>
    <w:rsid w:val="005B548B"/>
    <w:rsid w:val="005D7C67"/>
    <w:rsid w:val="005D7CED"/>
    <w:rsid w:val="00627DAD"/>
    <w:rsid w:val="00716C5E"/>
    <w:rsid w:val="007204C9"/>
    <w:rsid w:val="007242A1"/>
    <w:rsid w:val="007A4764"/>
    <w:rsid w:val="007F7F61"/>
    <w:rsid w:val="00823651"/>
    <w:rsid w:val="008702EB"/>
    <w:rsid w:val="008A1892"/>
    <w:rsid w:val="008B18C3"/>
    <w:rsid w:val="008B316A"/>
    <w:rsid w:val="008D3C42"/>
    <w:rsid w:val="00903512"/>
    <w:rsid w:val="00984477"/>
    <w:rsid w:val="00984E21"/>
    <w:rsid w:val="009928A9"/>
    <w:rsid w:val="00997D67"/>
    <w:rsid w:val="00AA3856"/>
    <w:rsid w:val="00AC2545"/>
    <w:rsid w:val="00B13D3E"/>
    <w:rsid w:val="00B87CFB"/>
    <w:rsid w:val="00B9511C"/>
    <w:rsid w:val="00C32C6E"/>
    <w:rsid w:val="00CC13EF"/>
    <w:rsid w:val="00CE5C6C"/>
    <w:rsid w:val="00D96FC2"/>
    <w:rsid w:val="00DA27F5"/>
    <w:rsid w:val="00DA38F8"/>
    <w:rsid w:val="00DA57F9"/>
    <w:rsid w:val="00E334A5"/>
    <w:rsid w:val="00E57A02"/>
    <w:rsid w:val="00F200D8"/>
    <w:rsid w:val="00F2183B"/>
    <w:rsid w:val="00F402C9"/>
    <w:rsid w:val="00F80F3D"/>
    <w:rsid w:val="00FC3C63"/>
    <w:rsid w:val="01031C1C"/>
    <w:rsid w:val="011E4F1F"/>
    <w:rsid w:val="013637D1"/>
    <w:rsid w:val="013A080E"/>
    <w:rsid w:val="018427DC"/>
    <w:rsid w:val="0192773E"/>
    <w:rsid w:val="01C67676"/>
    <w:rsid w:val="01FE3F51"/>
    <w:rsid w:val="020016E9"/>
    <w:rsid w:val="02072A78"/>
    <w:rsid w:val="020C62E0"/>
    <w:rsid w:val="025D2470"/>
    <w:rsid w:val="027A4F42"/>
    <w:rsid w:val="028A67B7"/>
    <w:rsid w:val="028E7C43"/>
    <w:rsid w:val="029307AF"/>
    <w:rsid w:val="029F455D"/>
    <w:rsid w:val="02C15D5B"/>
    <w:rsid w:val="02D13F89"/>
    <w:rsid w:val="030F2294"/>
    <w:rsid w:val="03453DDC"/>
    <w:rsid w:val="03541CED"/>
    <w:rsid w:val="035B20C7"/>
    <w:rsid w:val="035E7275"/>
    <w:rsid w:val="03692170"/>
    <w:rsid w:val="036E4623"/>
    <w:rsid w:val="0382197C"/>
    <w:rsid w:val="038F4B41"/>
    <w:rsid w:val="03A013D6"/>
    <w:rsid w:val="03FA2051"/>
    <w:rsid w:val="040E2864"/>
    <w:rsid w:val="042B5A6A"/>
    <w:rsid w:val="04376BA4"/>
    <w:rsid w:val="043817A7"/>
    <w:rsid w:val="045C1BEC"/>
    <w:rsid w:val="04966335"/>
    <w:rsid w:val="04B66593"/>
    <w:rsid w:val="04B8381C"/>
    <w:rsid w:val="04C97481"/>
    <w:rsid w:val="04D51447"/>
    <w:rsid w:val="04D8694E"/>
    <w:rsid w:val="04E74BBB"/>
    <w:rsid w:val="04E91AB4"/>
    <w:rsid w:val="05102254"/>
    <w:rsid w:val="051B0BC9"/>
    <w:rsid w:val="05233EFD"/>
    <w:rsid w:val="05320C94"/>
    <w:rsid w:val="05386AD8"/>
    <w:rsid w:val="05407702"/>
    <w:rsid w:val="055943D7"/>
    <w:rsid w:val="05821D6D"/>
    <w:rsid w:val="05986FCA"/>
    <w:rsid w:val="05B77DDA"/>
    <w:rsid w:val="05D9297D"/>
    <w:rsid w:val="05DD0CA4"/>
    <w:rsid w:val="05FD221B"/>
    <w:rsid w:val="0635436F"/>
    <w:rsid w:val="06661851"/>
    <w:rsid w:val="0667679E"/>
    <w:rsid w:val="068648B3"/>
    <w:rsid w:val="06916CB8"/>
    <w:rsid w:val="06A81AFB"/>
    <w:rsid w:val="06AC59C3"/>
    <w:rsid w:val="06C21663"/>
    <w:rsid w:val="06DC2725"/>
    <w:rsid w:val="06DE4D4C"/>
    <w:rsid w:val="070D0B30"/>
    <w:rsid w:val="072C0D9E"/>
    <w:rsid w:val="07577FFE"/>
    <w:rsid w:val="078919BC"/>
    <w:rsid w:val="07A25F88"/>
    <w:rsid w:val="07AE1DDD"/>
    <w:rsid w:val="07C114E1"/>
    <w:rsid w:val="07CB1CD0"/>
    <w:rsid w:val="07D53466"/>
    <w:rsid w:val="07E601F4"/>
    <w:rsid w:val="081E6453"/>
    <w:rsid w:val="08406CE4"/>
    <w:rsid w:val="08872B64"/>
    <w:rsid w:val="088B2485"/>
    <w:rsid w:val="089C4DD4"/>
    <w:rsid w:val="08AE3149"/>
    <w:rsid w:val="08B43BC2"/>
    <w:rsid w:val="08C7517E"/>
    <w:rsid w:val="08E510A5"/>
    <w:rsid w:val="08ED67CB"/>
    <w:rsid w:val="091031EE"/>
    <w:rsid w:val="091A3DF1"/>
    <w:rsid w:val="093076EB"/>
    <w:rsid w:val="09573962"/>
    <w:rsid w:val="095B7DEA"/>
    <w:rsid w:val="09C33BBB"/>
    <w:rsid w:val="09EF6C13"/>
    <w:rsid w:val="09F31EAA"/>
    <w:rsid w:val="09F912A5"/>
    <w:rsid w:val="0A1A50CB"/>
    <w:rsid w:val="0A204958"/>
    <w:rsid w:val="0A237DCF"/>
    <w:rsid w:val="0A2B62D1"/>
    <w:rsid w:val="0A4800D1"/>
    <w:rsid w:val="0A524C06"/>
    <w:rsid w:val="0A7665A4"/>
    <w:rsid w:val="0A945568"/>
    <w:rsid w:val="0ACC697F"/>
    <w:rsid w:val="0AD578B4"/>
    <w:rsid w:val="0ADD31D6"/>
    <w:rsid w:val="0B186C34"/>
    <w:rsid w:val="0B6F221F"/>
    <w:rsid w:val="0B7021C9"/>
    <w:rsid w:val="0B707453"/>
    <w:rsid w:val="0B927DB0"/>
    <w:rsid w:val="0B994A86"/>
    <w:rsid w:val="0B9C4882"/>
    <w:rsid w:val="0BA366B3"/>
    <w:rsid w:val="0BBC48D3"/>
    <w:rsid w:val="0BCA4623"/>
    <w:rsid w:val="0BCB401B"/>
    <w:rsid w:val="0BF44343"/>
    <w:rsid w:val="0BFD677A"/>
    <w:rsid w:val="0BFF4F9D"/>
    <w:rsid w:val="0C0766DC"/>
    <w:rsid w:val="0C0971A7"/>
    <w:rsid w:val="0C1A784C"/>
    <w:rsid w:val="0C303605"/>
    <w:rsid w:val="0C6672E1"/>
    <w:rsid w:val="0CAB0FE3"/>
    <w:rsid w:val="0CB35CD6"/>
    <w:rsid w:val="0CB729F6"/>
    <w:rsid w:val="0D0B3D64"/>
    <w:rsid w:val="0D152D25"/>
    <w:rsid w:val="0D200769"/>
    <w:rsid w:val="0D2B1F4B"/>
    <w:rsid w:val="0D38468B"/>
    <w:rsid w:val="0D4678BB"/>
    <w:rsid w:val="0D4B53F0"/>
    <w:rsid w:val="0D8B5F0A"/>
    <w:rsid w:val="0DAC63D7"/>
    <w:rsid w:val="0DC325B4"/>
    <w:rsid w:val="0DE10289"/>
    <w:rsid w:val="0DEA5A98"/>
    <w:rsid w:val="0E0D77D4"/>
    <w:rsid w:val="0E0E3492"/>
    <w:rsid w:val="0E550512"/>
    <w:rsid w:val="0E751180"/>
    <w:rsid w:val="0E7B7FC5"/>
    <w:rsid w:val="0EB70036"/>
    <w:rsid w:val="0EB96D0F"/>
    <w:rsid w:val="0EC114B6"/>
    <w:rsid w:val="0ED44126"/>
    <w:rsid w:val="0ED5767A"/>
    <w:rsid w:val="0EE4089D"/>
    <w:rsid w:val="0EE45392"/>
    <w:rsid w:val="0EF67BBB"/>
    <w:rsid w:val="0F026AA1"/>
    <w:rsid w:val="0F2347FF"/>
    <w:rsid w:val="0F267C10"/>
    <w:rsid w:val="0F2804EA"/>
    <w:rsid w:val="0F525276"/>
    <w:rsid w:val="0F631CBA"/>
    <w:rsid w:val="0F657030"/>
    <w:rsid w:val="0F761399"/>
    <w:rsid w:val="0F933BF6"/>
    <w:rsid w:val="0F98698F"/>
    <w:rsid w:val="0F9A13CF"/>
    <w:rsid w:val="0FA662D9"/>
    <w:rsid w:val="0FAC4347"/>
    <w:rsid w:val="0FB96634"/>
    <w:rsid w:val="0FF02D9D"/>
    <w:rsid w:val="100E39DE"/>
    <w:rsid w:val="10107C9B"/>
    <w:rsid w:val="103D7805"/>
    <w:rsid w:val="105570A4"/>
    <w:rsid w:val="10867DF2"/>
    <w:rsid w:val="10966303"/>
    <w:rsid w:val="109E7101"/>
    <w:rsid w:val="10A47674"/>
    <w:rsid w:val="10C734B1"/>
    <w:rsid w:val="10D71E7F"/>
    <w:rsid w:val="112C6057"/>
    <w:rsid w:val="11365128"/>
    <w:rsid w:val="11504267"/>
    <w:rsid w:val="11666B9B"/>
    <w:rsid w:val="117143B2"/>
    <w:rsid w:val="118B451B"/>
    <w:rsid w:val="118D548D"/>
    <w:rsid w:val="11955682"/>
    <w:rsid w:val="11AF737B"/>
    <w:rsid w:val="11D418AF"/>
    <w:rsid w:val="12094E86"/>
    <w:rsid w:val="12151945"/>
    <w:rsid w:val="12230B33"/>
    <w:rsid w:val="12250325"/>
    <w:rsid w:val="125A3098"/>
    <w:rsid w:val="127952CC"/>
    <w:rsid w:val="12A3281E"/>
    <w:rsid w:val="12AA012C"/>
    <w:rsid w:val="12CF313E"/>
    <w:rsid w:val="12D63440"/>
    <w:rsid w:val="130368D8"/>
    <w:rsid w:val="132058E6"/>
    <w:rsid w:val="132632F9"/>
    <w:rsid w:val="132711CC"/>
    <w:rsid w:val="13456BDD"/>
    <w:rsid w:val="13500F65"/>
    <w:rsid w:val="135A1FF5"/>
    <w:rsid w:val="13822DFE"/>
    <w:rsid w:val="138E1503"/>
    <w:rsid w:val="139B3968"/>
    <w:rsid w:val="13BA5B9C"/>
    <w:rsid w:val="13DA40A1"/>
    <w:rsid w:val="13DE4E92"/>
    <w:rsid w:val="13F66433"/>
    <w:rsid w:val="13F95965"/>
    <w:rsid w:val="13FB17DE"/>
    <w:rsid w:val="13FF401E"/>
    <w:rsid w:val="144B1DEA"/>
    <w:rsid w:val="146D1382"/>
    <w:rsid w:val="146E73C1"/>
    <w:rsid w:val="149C7998"/>
    <w:rsid w:val="14BB6424"/>
    <w:rsid w:val="14C75C50"/>
    <w:rsid w:val="14C91523"/>
    <w:rsid w:val="14DA3C44"/>
    <w:rsid w:val="14F1166B"/>
    <w:rsid w:val="150E5CC2"/>
    <w:rsid w:val="151A080B"/>
    <w:rsid w:val="15406463"/>
    <w:rsid w:val="154B5119"/>
    <w:rsid w:val="154C29EF"/>
    <w:rsid w:val="154E1B4E"/>
    <w:rsid w:val="1567793C"/>
    <w:rsid w:val="158A77F0"/>
    <w:rsid w:val="158E0BE6"/>
    <w:rsid w:val="15BF13FD"/>
    <w:rsid w:val="15C21FB9"/>
    <w:rsid w:val="15CF6BB0"/>
    <w:rsid w:val="15D915A4"/>
    <w:rsid w:val="15E62E7C"/>
    <w:rsid w:val="15EB6226"/>
    <w:rsid w:val="16321C77"/>
    <w:rsid w:val="16333219"/>
    <w:rsid w:val="163E4FD8"/>
    <w:rsid w:val="163E7C71"/>
    <w:rsid w:val="163F6D8E"/>
    <w:rsid w:val="16435794"/>
    <w:rsid w:val="16500D37"/>
    <w:rsid w:val="16575DD3"/>
    <w:rsid w:val="165E2053"/>
    <w:rsid w:val="166D72BD"/>
    <w:rsid w:val="16747342"/>
    <w:rsid w:val="16CE70A8"/>
    <w:rsid w:val="16E64EFA"/>
    <w:rsid w:val="16F35E59"/>
    <w:rsid w:val="16F77107"/>
    <w:rsid w:val="16FB5676"/>
    <w:rsid w:val="17206600"/>
    <w:rsid w:val="17225ADC"/>
    <w:rsid w:val="17260A3D"/>
    <w:rsid w:val="17461BF4"/>
    <w:rsid w:val="174640DB"/>
    <w:rsid w:val="1789234B"/>
    <w:rsid w:val="17BB5F40"/>
    <w:rsid w:val="17C4601E"/>
    <w:rsid w:val="17E2079B"/>
    <w:rsid w:val="17F04282"/>
    <w:rsid w:val="180C10A8"/>
    <w:rsid w:val="180E750C"/>
    <w:rsid w:val="185A2BA7"/>
    <w:rsid w:val="187D7061"/>
    <w:rsid w:val="18AC50FA"/>
    <w:rsid w:val="18CB7348"/>
    <w:rsid w:val="18D33378"/>
    <w:rsid w:val="18DF1005"/>
    <w:rsid w:val="18E84F59"/>
    <w:rsid w:val="190E58A7"/>
    <w:rsid w:val="190F6E75"/>
    <w:rsid w:val="191D7F9E"/>
    <w:rsid w:val="192963F6"/>
    <w:rsid w:val="195D1ADE"/>
    <w:rsid w:val="196D5A05"/>
    <w:rsid w:val="19797304"/>
    <w:rsid w:val="198117A8"/>
    <w:rsid w:val="19A1335A"/>
    <w:rsid w:val="19AA6074"/>
    <w:rsid w:val="19C71013"/>
    <w:rsid w:val="19D857FC"/>
    <w:rsid w:val="19E11F44"/>
    <w:rsid w:val="19E90A8E"/>
    <w:rsid w:val="19EE6645"/>
    <w:rsid w:val="19EEF4C9"/>
    <w:rsid w:val="1A3E79A7"/>
    <w:rsid w:val="1A4C51B2"/>
    <w:rsid w:val="1A6564D6"/>
    <w:rsid w:val="1A797632"/>
    <w:rsid w:val="1A7A6085"/>
    <w:rsid w:val="1A7D297D"/>
    <w:rsid w:val="1A8C5DB8"/>
    <w:rsid w:val="1A900724"/>
    <w:rsid w:val="1A934A09"/>
    <w:rsid w:val="1AD50107"/>
    <w:rsid w:val="1AF30EDE"/>
    <w:rsid w:val="1B0342CC"/>
    <w:rsid w:val="1B147937"/>
    <w:rsid w:val="1B2D40E8"/>
    <w:rsid w:val="1B3A39FE"/>
    <w:rsid w:val="1B6C7C62"/>
    <w:rsid w:val="1B7725C5"/>
    <w:rsid w:val="1BA535D6"/>
    <w:rsid w:val="1BC26D50"/>
    <w:rsid w:val="1BDB11A2"/>
    <w:rsid w:val="1BE50366"/>
    <w:rsid w:val="1BF704A8"/>
    <w:rsid w:val="1C0A0066"/>
    <w:rsid w:val="1C194552"/>
    <w:rsid w:val="1C444019"/>
    <w:rsid w:val="1C4941B6"/>
    <w:rsid w:val="1C4C1270"/>
    <w:rsid w:val="1C512E16"/>
    <w:rsid w:val="1C5D0FC7"/>
    <w:rsid w:val="1C8D5047"/>
    <w:rsid w:val="1C9F706D"/>
    <w:rsid w:val="1CBD102D"/>
    <w:rsid w:val="1CBD2262"/>
    <w:rsid w:val="1CCD534E"/>
    <w:rsid w:val="1CD13F56"/>
    <w:rsid w:val="1CE11DED"/>
    <w:rsid w:val="1CED071E"/>
    <w:rsid w:val="1CF06AD2"/>
    <w:rsid w:val="1CFC0FD3"/>
    <w:rsid w:val="1D393463"/>
    <w:rsid w:val="1D6215E1"/>
    <w:rsid w:val="1D6C4284"/>
    <w:rsid w:val="1D6E38A6"/>
    <w:rsid w:val="1D787D18"/>
    <w:rsid w:val="1D7A1E50"/>
    <w:rsid w:val="1D927D41"/>
    <w:rsid w:val="1D980759"/>
    <w:rsid w:val="1D990FDC"/>
    <w:rsid w:val="1D9D1D62"/>
    <w:rsid w:val="1DCB1864"/>
    <w:rsid w:val="1DEA2008"/>
    <w:rsid w:val="1DF6F84D"/>
    <w:rsid w:val="1E004446"/>
    <w:rsid w:val="1E1A7B5D"/>
    <w:rsid w:val="1E20313A"/>
    <w:rsid w:val="1E2047F3"/>
    <w:rsid w:val="1E221991"/>
    <w:rsid w:val="1E4824CC"/>
    <w:rsid w:val="1E50544B"/>
    <w:rsid w:val="1E55796B"/>
    <w:rsid w:val="1E8745D1"/>
    <w:rsid w:val="1E9B1504"/>
    <w:rsid w:val="1E9F3B69"/>
    <w:rsid w:val="1EC70525"/>
    <w:rsid w:val="1F046865"/>
    <w:rsid w:val="1F2D555F"/>
    <w:rsid w:val="1F3F0AE3"/>
    <w:rsid w:val="1F4309F8"/>
    <w:rsid w:val="1F481106"/>
    <w:rsid w:val="1F7E26B9"/>
    <w:rsid w:val="1F850839"/>
    <w:rsid w:val="1F8F4381"/>
    <w:rsid w:val="1F9A77C9"/>
    <w:rsid w:val="1FA052FE"/>
    <w:rsid w:val="1FAA2283"/>
    <w:rsid w:val="1FAF461B"/>
    <w:rsid w:val="1FBD4304"/>
    <w:rsid w:val="1FBEA2B4"/>
    <w:rsid w:val="20103217"/>
    <w:rsid w:val="20161F4D"/>
    <w:rsid w:val="201B6FB0"/>
    <w:rsid w:val="20271083"/>
    <w:rsid w:val="20304E03"/>
    <w:rsid w:val="204748C7"/>
    <w:rsid w:val="2051031F"/>
    <w:rsid w:val="20601E11"/>
    <w:rsid w:val="20612199"/>
    <w:rsid w:val="206A387C"/>
    <w:rsid w:val="20711212"/>
    <w:rsid w:val="20816A63"/>
    <w:rsid w:val="20960DC3"/>
    <w:rsid w:val="20A536C4"/>
    <w:rsid w:val="20D30807"/>
    <w:rsid w:val="20EB41A6"/>
    <w:rsid w:val="20FE5EDA"/>
    <w:rsid w:val="213A0C00"/>
    <w:rsid w:val="216276F2"/>
    <w:rsid w:val="21674F02"/>
    <w:rsid w:val="218B6DCA"/>
    <w:rsid w:val="21AA12E7"/>
    <w:rsid w:val="21B93937"/>
    <w:rsid w:val="22133C25"/>
    <w:rsid w:val="22237BE6"/>
    <w:rsid w:val="2235653A"/>
    <w:rsid w:val="225E37E2"/>
    <w:rsid w:val="226A5B67"/>
    <w:rsid w:val="22731412"/>
    <w:rsid w:val="229543C6"/>
    <w:rsid w:val="22996AD6"/>
    <w:rsid w:val="22B460C9"/>
    <w:rsid w:val="22BF2863"/>
    <w:rsid w:val="22E905DE"/>
    <w:rsid w:val="232349C1"/>
    <w:rsid w:val="23343B79"/>
    <w:rsid w:val="235038CA"/>
    <w:rsid w:val="23520C37"/>
    <w:rsid w:val="235A425B"/>
    <w:rsid w:val="23675615"/>
    <w:rsid w:val="23696C97"/>
    <w:rsid w:val="23765E18"/>
    <w:rsid w:val="23863CED"/>
    <w:rsid w:val="238C6E29"/>
    <w:rsid w:val="23A777BF"/>
    <w:rsid w:val="23AE0B4E"/>
    <w:rsid w:val="23ED1676"/>
    <w:rsid w:val="23F4563E"/>
    <w:rsid w:val="23F6158E"/>
    <w:rsid w:val="23F74124"/>
    <w:rsid w:val="23FC78DA"/>
    <w:rsid w:val="243D3514"/>
    <w:rsid w:val="246D1A2D"/>
    <w:rsid w:val="24836FD1"/>
    <w:rsid w:val="24AC21C6"/>
    <w:rsid w:val="24D71F01"/>
    <w:rsid w:val="24E91894"/>
    <w:rsid w:val="24F20F0E"/>
    <w:rsid w:val="2505316D"/>
    <w:rsid w:val="252E2EA0"/>
    <w:rsid w:val="25362980"/>
    <w:rsid w:val="25365A81"/>
    <w:rsid w:val="25391118"/>
    <w:rsid w:val="25570DEC"/>
    <w:rsid w:val="25662DAC"/>
    <w:rsid w:val="25B518F8"/>
    <w:rsid w:val="25C4149A"/>
    <w:rsid w:val="25D211A0"/>
    <w:rsid w:val="25F435D2"/>
    <w:rsid w:val="26117E8E"/>
    <w:rsid w:val="261E149E"/>
    <w:rsid w:val="26523C4D"/>
    <w:rsid w:val="265C3F8A"/>
    <w:rsid w:val="26710963"/>
    <w:rsid w:val="267D0A75"/>
    <w:rsid w:val="268E37D0"/>
    <w:rsid w:val="26B94D73"/>
    <w:rsid w:val="26C856AB"/>
    <w:rsid w:val="26CB06E8"/>
    <w:rsid w:val="26E03807"/>
    <w:rsid w:val="26E37507"/>
    <w:rsid w:val="26FA5F6D"/>
    <w:rsid w:val="2707319A"/>
    <w:rsid w:val="27184B7A"/>
    <w:rsid w:val="27277595"/>
    <w:rsid w:val="273E06AB"/>
    <w:rsid w:val="27527BF8"/>
    <w:rsid w:val="27534D41"/>
    <w:rsid w:val="277A3B68"/>
    <w:rsid w:val="27814EF7"/>
    <w:rsid w:val="279C0CF3"/>
    <w:rsid w:val="27A479E7"/>
    <w:rsid w:val="27AD3B56"/>
    <w:rsid w:val="27CE0F6F"/>
    <w:rsid w:val="27DF44A9"/>
    <w:rsid w:val="28273093"/>
    <w:rsid w:val="28355F04"/>
    <w:rsid w:val="283E5715"/>
    <w:rsid w:val="285A5748"/>
    <w:rsid w:val="285E12CD"/>
    <w:rsid w:val="28607787"/>
    <w:rsid w:val="286872A1"/>
    <w:rsid w:val="288910BF"/>
    <w:rsid w:val="289A78F2"/>
    <w:rsid w:val="28DC615D"/>
    <w:rsid w:val="28EA6ACC"/>
    <w:rsid w:val="28FB31A8"/>
    <w:rsid w:val="28FF00B1"/>
    <w:rsid w:val="291D4BD0"/>
    <w:rsid w:val="29241261"/>
    <w:rsid w:val="294462F2"/>
    <w:rsid w:val="295B562D"/>
    <w:rsid w:val="29884E59"/>
    <w:rsid w:val="2994629F"/>
    <w:rsid w:val="29A67B8A"/>
    <w:rsid w:val="29AF55AA"/>
    <w:rsid w:val="29B527B3"/>
    <w:rsid w:val="29C7552F"/>
    <w:rsid w:val="29D41A6D"/>
    <w:rsid w:val="29E02EA2"/>
    <w:rsid w:val="29E66E9B"/>
    <w:rsid w:val="29ED1060"/>
    <w:rsid w:val="2A10297A"/>
    <w:rsid w:val="2A226BAF"/>
    <w:rsid w:val="2A29123E"/>
    <w:rsid w:val="2A3200B0"/>
    <w:rsid w:val="2A383867"/>
    <w:rsid w:val="2A9D055E"/>
    <w:rsid w:val="2AA31CAB"/>
    <w:rsid w:val="2AAE58D7"/>
    <w:rsid w:val="2AB005C7"/>
    <w:rsid w:val="2AC3157C"/>
    <w:rsid w:val="2AC44873"/>
    <w:rsid w:val="2AC507FE"/>
    <w:rsid w:val="2B135C79"/>
    <w:rsid w:val="2B1575E3"/>
    <w:rsid w:val="2B197C49"/>
    <w:rsid w:val="2B3D2C78"/>
    <w:rsid w:val="2B9935D7"/>
    <w:rsid w:val="2BB90842"/>
    <w:rsid w:val="2BE34E53"/>
    <w:rsid w:val="2C1B14CB"/>
    <w:rsid w:val="2C263639"/>
    <w:rsid w:val="2C2830EB"/>
    <w:rsid w:val="2C30560B"/>
    <w:rsid w:val="2C33078A"/>
    <w:rsid w:val="2C494245"/>
    <w:rsid w:val="2C5A1872"/>
    <w:rsid w:val="2C6646BB"/>
    <w:rsid w:val="2C8F4AA5"/>
    <w:rsid w:val="2C984F6D"/>
    <w:rsid w:val="2CAB7CDF"/>
    <w:rsid w:val="2CEA3B3F"/>
    <w:rsid w:val="2CF55B22"/>
    <w:rsid w:val="2CF95111"/>
    <w:rsid w:val="2CF9546F"/>
    <w:rsid w:val="2D170337"/>
    <w:rsid w:val="2D4121B7"/>
    <w:rsid w:val="2D817536"/>
    <w:rsid w:val="2D983E7E"/>
    <w:rsid w:val="2D9D235F"/>
    <w:rsid w:val="2DB50C8A"/>
    <w:rsid w:val="2DB7765E"/>
    <w:rsid w:val="2DB80402"/>
    <w:rsid w:val="2DB85492"/>
    <w:rsid w:val="2E665115"/>
    <w:rsid w:val="2E6D0A16"/>
    <w:rsid w:val="2E71538D"/>
    <w:rsid w:val="2E7248C0"/>
    <w:rsid w:val="2EA0758D"/>
    <w:rsid w:val="2EA71C10"/>
    <w:rsid w:val="2EBA484A"/>
    <w:rsid w:val="2EBD46E5"/>
    <w:rsid w:val="2ECC1AD7"/>
    <w:rsid w:val="2ED44965"/>
    <w:rsid w:val="2EE5148C"/>
    <w:rsid w:val="2EF729BB"/>
    <w:rsid w:val="2F1919F7"/>
    <w:rsid w:val="2F395D80"/>
    <w:rsid w:val="2F505D9A"/>
    <w:rsid w:val="2F5A4E26"/>
    <w:rsid w:val="2F605D0E"/>
    <w:rsid w:val="2F7013AD"/>
    <w:rsid w:val="2F7A7054"/>
    <w:rsid w:val="2F84029D"/>
    <w:rsid w:val="2F8479C3"/>
    <w:rsid w:val="2F932B09"/>
    <w:rsid w:val="2FBD61A2"/>
    <w:rsid w:val="2FFAA329"/>
    <w:rsid w:val="30091E78"/>
    <w:rsid w:val="302208F9"/>
    <w:rsid w:val="305269DE"/>
    <w:rsid w:val="30550AF5"/>
    <w:rsid w:val="305769A1"/>
    <w:rsid w:val="30650A22"/>
    <w:rsid w:val="30721B99"/>
    <w:rsid w:val="30754AA9"/>
    <w:rsid w:val="307A0F29"/>
    <w:rsid w:val="309745F8"/>
    <w:rsid w:val="30C640C8"/>
    <w:rsid w:val="30CB0F91"/>
    <w:rsid w:val="30DA1EAE"/>
    <w:rsid w:val="30DC14B6"/>
    <w:rsid w:val="30E958BB"/>
    <w:rsid w:val="30F922EB"/>
    <w:rsid w:val="310746E0"/>
    <w:rsid w:val="31121581"/>
    <w:rsid w:val="311B6C4B"/>
    <w:rsid w:val="3159659D"/>
    <w:rsid w:val="316B4522"/>
    <w:rsid w:val="31720979"/>
    <w:rsid w:val="31A70DF7"/>
    <w:rsid w:val="31B92B8B"/>
    <w:rsid w:val="31BF50A0"/>
    <w:rsid w:val="31DD7BAF"/>
    <w:rsid w:val="322D4902"/>
    <w:rsid w:val="32344983"/>
    <w:rsid w:val="323E4F73"/>
    <w:rsid w:val="325730C6"/>
    <w:rsid w:val="325A6A70"/>
    <w:rsid w:val="325E63C7"/>
    <w:rsid w:val="326E4429"/>
    <w:rsid w:val="327539B4"/>
    <w:rsid w:val="32764F2C"/>
    <w:rsid w:val="32770553"/>
    <w:rsid w:val="327C0AE2"/>
    <w:rsid w:val="32802058"/>
    <w:rsid w:val="32805DAB"/>
    <w:rsid w:val="32985042"/>
    <w:rsid w:val="32C2260C"/>
    <w:rsid w:val="32DA370D"/>
    <w:rsid w:val="32E02BD5"/>
    <w:rsid w:val="32E43999"/>
    <w:rsid w:val="32EB4A9A"/>
    <w:rsid w:val="32EB6F6B"/>
    <w:rsid w:val="32FD3F4C"/>
    <w:rsid w:val="331A7BE5"/>
    <w:rsid w:val="33525999"/>
    <w:rsid w:val="33560102"/>
    <w:rsid w:val="33590AD6"/>
    <w:rsid w:val="3361228C"/>
    <w:rsid w:val="33784CD4"/>
    <w:rsid w:val="33861554"/>
    <w:rsid w:val="33922CA9"/>
    <w:rsid w:val="33AB49D7"/>
    <w:rsid w:val="33BD0A78"/>
    <w:rsid w:val="33C223B3"/>
    <w:rsid w:val="33E84E63"/>
    <w:rsid w:val="33EF98BB"/>
    <w:rsid w:val="341B6844"/>
    <w:rsid w:val="342A5D91"/>
    <w:rsid w:val="34400842"/>
    <w:rsid w:val="34671F2E"/>
    <w:rsid w:val="34684E59"/>
    <w:rsid w:val="346C5601"/>
    <w:rsid w:val="3479238D"/>
    <w:rsid w:val="34972F12"/>
    <w:rsid w:val="349B7EB8"/>
    <w:rsid w:val="34AE2CF2"/>
    <w:rsid w:val="34AE6BFF"/>
    <w:rsid w:val="35006703"/>
    <w:rsid w:val="351A2AF9"/>
    <w:rsid w:val="3532573B"/>
    <w:rsid w:val="35505F08"/>
    <w:rsid w:val="355D23D3"/>
    <w:rsid w:val="35625732"/>
    <w:rsid w:val="356419B4"/>
    <w:rsid w:val="357015B0"/>
    <w:rsid w:val="358A3F0B"/>
    <w:rsid w:val="358F2AEF"/>
    <w:rsid w:val="359E1A84"/>
    <w:rsid w:val="35BF3D8A"/>
    <w:rsid w:val="35C06F27"/>
    <w:rsid w:val="35C4779A"/>
    <w:rsid w:val="35C73812"/>
    <w:rsid w:val="35E36164"/>
    <w:rsid w:val="35ED20DC"/>
    <w:rsid w:val="36192BB7"/>
    <w:rsid w:val="362E54AE"/>
    <w:rsid w:val="363D46DF"/>
    <w:rsid w:val="36486BE0"/>
    <w:rsid w:val="36595BB5"/>
    <w:rsid w:val="366C2FAD"/>
    <w:rsid w:val="368F788A"/>
    <w:rsid w:val="3691408D"/>
    <w:rsid w:val="3699743B"/>
    <w:rsid w:val="36B04FAF"/>
    <w:rsid w:val="36F700C6"/>
    <w:rsid w:val="3706567A"/>
    <w:rsid w:val="37184804"/>
    <w:rsid w:val="372E2279"/>
    <w:rsid w:val="3750027A"/>
    <w:rsid w:val="37502A77"/>
    <w:rsid w:val="375FBF60"/>
    <w:rsid w:val="376E1843"/>
    <w:rsid w:val="3772191D"/>
    <w:rsid w:val="377D6A97"/>
    <w:rsid w:val="3790083E"/>
    <w:rsid w:val="37973E5A"/>
    <w:rsid w:val="37B33878"/>
    <w:rsid w:val="37B713CA"/>
    <w:rsid w:val="37D02C9E"/>
    <w:rsid w:val="37EC7E77"/>
    <w:rsid w:val="37F658C6"/>
    <w:rsid w:val="37FE1758"/>
    <w:rsid w:val="38141C21"/>
    <w:rsid w:val="38423425"/>
    <w:rsid w:val="386649DE"/>
    <w:rsid w:val="386D2F89"/>
    <w:rsid w:val="386D66C1"/>
    <w:rsid w:val="38736A58"/>
    <w:rsid w:val="387B0772"/>
    <w:rsid w:val="388B1407"/>
    <w:rsid w:val="38944A7C"/>
    <w:rsid w:val="38C31050"/>
    <w:rsid w:val="38E1635E"/>
    <w:rsid w:val="38F57270"/>
    <w:rsid w:val="38F90ABB"/>
    <w:rsid w:val="391F631E"/>
    <w:rsid w:val="39276F80"/>
    <w:rsid w:val="39463B04"/>
    <w:rsid w:val="397B586C"/>
    <w:rsid w:val="398F43B5"/>
    <w:rsid w:val="39C41D52"/>
    <w:rsid w:val="39D26F6B"/>
    <w:rsid w:val="39DE5BA2"/>
    <w:rsid w:val="39E00378"/>
    <w:rsid w:val="39E23435"/>
    <w:rsid w:val="39E55080"/>
    <w:rsid w:val="3A04610E"/>
    <w:rsid w:val="3A06128C"/>
    <w:rsid w:val="3A0737BA"/>
    <w:rsid w:val="3A35391F"/>
    <w:rsid w:val="3AAF14FA"/>
    <w:rsid w:val="3AB32002"/>
    <w:rsid w:val="3ABD7192"/>
    <w:rsid w:val="3AE1152B"/>
    <w:rsid w:val="3AF958C0"/>
    <w:rsid w:val="3B3543E1"/>
    <w:rsid w:val="3B420484"/>
    <w:rsid w:val="3B66FE99"/>
    <w:rsid w:val="3B762441"/>
    <w:rsid w:val="3B88401D"/>
    <w:rsid w:val="3B8A40BE"/>
    <w:rsid w:val="3BA70A2F"/>
    <w:rsid w:val="3BBD8C89"/>
    <w:rsid w:val="3BCD4482"/>
    <w:rsid w:val="3BDBA413"/>
    <w:rsid w:val="3BEB75DB"/>
    <w:rsid w:val="3BF4C7DF"/>
    <w:rsid w:val="3C0E1A2B"/>
    <w:rsid w:val="3C215F09"/>
    <w:rsid w:val="3C2C4D5E"/>
    <w:rsid w:val="3C3F57E3"/>
    <w:rsid w:val="3C44609B"/>
    <w:rsid w:val="3C4A7A12"/>
    <w:rsid w:val="3C520E93"/>
    <w:rsid w:val="3C67DD8D"/>
    <w:rsid w:val="3C6F28A4"/>
    <w:rsid w:val="3C7B6A2F"/>
    <w:rsid w:val="3C7B6ECA"/>
    <w:rsid w:val="3C8F7316"/>
    <w:rsid w:val="3C922D81"/>
    <w:rsid w:val="3C966C3F"/>
    <w:rsid w:val="3CC03FA6"/>
    <w:rsid w:val="3CCD7F97"/>
    <w:rsid w:val="3CDE7F5A"/>
    <w:rsid w:val="3CE27B73"/>
    <w:rsid w:val="3CFD12F6"/>
    <w:rsid w:val="3D177B23"/>
    <w:rsid w:val="3D2C3485"/>
    <w:rsid w:val="3D552CD9"/>
    <w:rsid w:val="3D5A3DC8"/>
    <w:rsid w:val="3D8A3ABE"/>
    <w:rsid w:val="3D8E5820"/>
    <w:rsid w:val="3DAB38D2"/>
    <w:rsid w:val="3DB41C50"/>
    <w:rsid w:val="3DBB4664"/>
    <w:rsid w:val="3DC70D32"/>
    <w:rsid w:val="3DCE1CA2"/>
    <w:rsid w:val="3DDC027E"/>
    <w:rsid w:val="3DDF607B"/>
    <w:rsid w:val="3DDF85FB"/>
    <w:rsid w:val="3E03340C"/>
    <w:rsid w:val="3E1F291C"/>
    <w:rsid w:val="3E24017F"/>
    <w:rsid w:val="3E374C21"/>
    <w:rsid w:val="3E601236"/>
    <w:rsid w:val="3E615DE4"/>
    <w:rsid w:val="3E7C0A65"/>
    <w:rsid w:val="3EB36B9C"/>
    <w:rsid w:val="3EE70D49"/>
    <w:rsid w:val="3EEF0540"/>
    <w:rsid w:val="3EFC0E22"/>
    <w:rsid w:val="3EFF9F18"/>
    <w:rsid w:val="3F023D64"/>
    <w:rsid w:val="3F1558C2"/>
    <w:rsid w:val="3F1608EE"/>
    <w:rsid w:val="3F2D383B"/>
    <w:rsid w:val="3F3441A5"/>
    <w:rsid w:val="3F8F587D"/>
    <w:rsid w:val="3FF45A9A"/>
    <w:rsid w:val="3FFD4EDF"/>
    <w:rsid w:val="402121C3"/>
    <w:rsid w:val="405A1FA0"/>
    <w:rsid w:val="406B3BF6"/>
    <w:rsid w:val="409C46F8"/>
    <w:rsid w:val="40DE261A"/>
    <w:rsid w:val="40E13EB9"/>
    <w:rsid w:val="4106153C"/>
    <w:rsid w:val="41084A3F"/>
    <w:rsid w:val="4122012B"/>
    <w:rsid w:val="41236C0B"/>
    <w:rsid w:val="412D3023"/>
    <w:rsid w:val="413C37E5"/>
    <w:rsid w:val="4176231E"/>
    <w:rsid w:val="41B82C9E"/>
    <w:rsid w:val="41C419C4"/>
    <w:rsid w:val="41D07BEC"/>
    <w:rsid w:val="41D66ADA"/>
    <w:rsid w:val="41F971E7"/>
    <w:rsid w:val="421F7A8A"/>
    <w:rsid w:val="426119A9"/>
    <w:rsid w:val="42641B71"/>
    <w:rsid w:val="426A7782"/>
    <w:rsid w:val="428D71CF"/>
    <w:rsid w:val="42946983"/>
    <w:rsid w:val="42BD1F2C"/>
    <w:rsid w:val="42C4601A"/>
    <w:rsid w:val="42C8119D"/>
    <w:rsid w:val="42CB381B"/>
    <w:rsid w:val="42EB54C2"/>
    <w:rsid w:val="42F56341"/>
    <w:rsid w:val="42F8375D"/>
    <w:rsid w:val="431D7F78"/>
    <w:rsid w:val="433E1868"/>
    <w:rsid w:val="434C41B3"/>
    <w:rsid w:val="4354430D"/>
    <w:rsid w:val="43790D20"/>
    <w:rsid w:val="438870AF"/>
    <w:rsid w:val="438F6F2B"/>
    <w:rsid w:val="43BD4724"/>
    <w:rsid w:val="43CB61C7"/>
    <w:rsid w:val="43D45F57"/>
    <w:rsid w:val="43E059E8"/>
    <w:rsid w:val="43F7309A"/>
    <w:rsid w:val="44004F9E"/>
    <w:rsid w:val="44071E88"/>
    <w:rsid w:val="44127C9E"/>
    <w:rsid w:val="442C2699"/>
    <w:rsid w:val="443D2315"/>
    <w:rsid w:val="44981759"/>
    <w:rsid w:val="44A9510B"/>
    <w:rsid w:val="44AA112D"/>
    <w:rsid w:val="44AB4E19"/>
    <w:rsid w:val="44B27A92"/>
    <w:rsid w:val="44B41377"/>
    <w:rsid w:val="44B444D3"/>
    <w:rsid w:val="44B92F23"/>
    <w:rsid w:val="44BC1BA8"/>
    <w:rsid w:val="44C83D0E"/>
    <w:rsid w:val="44E970E5"/>
    <w:rsid w:val="45102204"/>
    <w:rsid w:val="45363A3A"/>
    <w:rsid w:val="45BF3667"/>
    <w:rsid w:val="45D360CF"/>
    <w:rsid w:val="45DE004E"/>
    <w:rsid w:val="45F60B3A"/>
    <w:rsid w:val="46224483"/>
    <w:rsid w:val="46251EA4"/>
    <w:rsid w:val="466148B0"/>
    <w:rsid w:val="4672311A"/>
    <w:rsid w:val="469211D3"/>
    <w:rsid w:val="46B31821"/>
    <w:rsid w:val="46B45763"/>
    <w:rsid w:val="47106C72"/>
    <w:rsid w:val="472E3D89"/>
    <w:rsid w:val="47322C84"/>
    <w:rsid w:val="473A6EC1"/>
    <w:rsid w:val="47501A36"/>
    <w:rsid w:val="4755115C"/>
    <w:rsid w:val="476822F1"/>
    <w:rsid w:val="479A3013"/>
    <w:rsid w:val="47AF5C6C"/>
    <w:rsid w:val="47CE37D0"/>
    <w:rsid w:val="47D74267"/>
    <w:rsid w:val="47E37262"/>
    <w:rsid w:val="47E524E0"/>
    <w:rsid w:val="47E8329F"/>
    <w:rsid w:val="47ED018A"/>
    <w:rsid w:val="47ED3A0E"/>
    <w:rsid w:val="480967B9"/>
    <w:rsid w:val="480E2026"/>
    <w:rsid w:val="480E42D2"/>
    <w:rsid w:val="48161405"/>
    <w:rsid w:val="4816723A"/>
    <w:rsid w:val="48234A4F"/>
    <w:rsid w:val="48475276"/>
    <w:rsid w:val="486C2C02"/>
    <w:rsid w:val="48894FF4"/>
    <w:rsid w:val="48B015EF"/>
    <w:rsid w:val="48CE7418"/>
    <w:rsid w:val="48F35A68"/>
    <w:rsid w:val="49251C7A"/>
    <w:rsid w:val="4930182A"/>
    <w:rsid w:val="493046D9"/>
    <w:rsid w:val="49304D27"/>
    <w:rsid w:val="495302FE"/>
    <w:rsid w:val="4968161B"/>
    <w:rsid w:val="499B188A"/>
    <w:rsid w:val="49A068D7"/>
    <w:rsid w:val="49EC47D8"/>
    <w:rsid w:val="49EC7066"/>
    <w:rsid w:val="49FA7EC0"/>
    <w:rsid w:val="4A047551"/>
    <w:rsid w:val="4A0B150D"/>
    <w:rsid w:val="4A323A1C"/>
    <w:rsid w:val="4A390080"/>
    <w:rsid w:val="4A3C23B4"/>
    <w:rsid w:val="4A4618F0"/>
    <w:rsid w:val="4A5A1B93"/>
    <w:rsid w:val="4A932B97"/>
    <w:rsid w:val="4ADD3943"/>
    <w:rsid w:val="4AE02AE7"/>
    <w:rsid w:val="4AE57050"/>
    <w:rsid w:val="4AEF1162"/>
    <w:rsid w:val="4AF64A04"/>
    <w:rsid w:val="4AFB588F"/>
    <w:rsid w:val="4B215F23"/>
    <w:rsid w:val="4B25001A"/>
    <w:rsid w:val="4B2D2BE6"/>
    <w:rsid w:val="4B2D5EA8"/>
    <w:rsid w:val="4B7D48FD"/>
    <w:rsid w:val="4B8B4F59"/>
    <w:rsid w:val="4B8D0681"/>
    <w:rsid w:val="4BCA0873"/>
    <w:rsid w:val="4BCD35DC"/>
    <w:rsid w:val="4BDF0E05"/>
    <w:rsid w:val="4BEA1393"/>
    <w:rsid w:val="4C1A3999"/>
    <w:rsid w:val="4C2B4DB0"/>
    <w:rsid w:val="4C2E2149"/>
    <w:rsid w:val="4C6E29BB"/>
    <w:rsid w:val="4C7161F0"/>
    <w:rsid w:val="4C9743B6"/>
    <w:rsid w:val="4CC80132"/>
    <w:rsid w:val="4CD94AD2"/>
    <w:rsid w:val="4CDC19B8"/>
    <w:rsid w:val="4CE3251B"/>
    <w:rsid w:val="4CE444B6"/>
    <w:rsid w:val="4CE85EBE"/>
    <w:rsid w:val="4CFA395C"/>
    <w:rsid w:val="4D18035C"/>
    <w:rsid w:val="4D4600D8"/>
    <w:rsid w:val="4D4A758E"/>
    <w:rsid w:val="4D50479E"/>
    <w:rsid w:val="4D551DB4"/>
    <w:rsid w:val="4D5C470F"/>
    <w:rsid w:val="4DA222EA"/>
    <w:rsid w:val="4DAB1AD6"/>
    <w:rsid w:val="4DDC4DF6"/>
    <w:rsid w:val="4DEE498F"/>
    <w:rsid w:val="4E0F6950"/>
    <w:rsid w:val="4E461191"/>
    <w:rsid w:val="4E705DCA"/>
    <w:rsid w:val="4E727B56"/>
    <w:rsid w:val="4EB30C3A"/>
    <w:rsid w:val="4ED67027"/>
    <w:rsid w:val="4EE769A4"/>
    <w:rsid w:val="4F013AB2"/>
    <w:rsid w:val="4F1A0F75"/>
    <w:rsid w:val="4F4C3399"/>
    <w:rsid w:val="4F505AAF"/>
    <w:rsid w:val="4F566000"/>
    <w:rsid w:val="4F5F6F20"/>
    <w:rsid w:val="4F6D560D"/>
    <w:rsid w:val="4F7B62BA"/>
    <w:rsid w:val="4F7F2792"/>
    <w:rsid w:val="4FB053B6"/>
    <w:rsid w:val="4FB07F85"/>
    <w:rsid w:val="4FD02EC1"/>
    <w:rsid w:val="4FD64808"/>
    <w:rsid w:val="4FDC6307"/>
    <w:rsid w:val="4FE32F95"/>
    <w:rsid w:val="4FE338DA"/>
    <w:rsid w:val="4FE97B59"/>
    <w:rsid w:val="4FF00C36"/>
    <w:rsid w:val="4FF65ECF"/>
    <w:rsid w:val="5001721D"/>
    <w:rsid w:val="501C0A75"/>
    <w:rsid w:val="5084192B"/>
    <w:rsid w:val="50914C61"/>
    <w:rsid w:val="50A6730D"/>
    <w:rsid w:val="50C66923"/>
    <w:rsid w:val="50DA6E4B"/>
    <w:rsid w:val="50E479E0"/>
    <w:rsid w:val="50EF34FD"/>
    <w:rsid w:val="5100038B"/>
    <w:rsid w:val="51140057"/>
    <w:rsid w:val="51225778"/>
    <w:rsid w:val="51273B6A"/>
    <w:rsid w:val="512C6A81"/>
    <w:rsid w:val="5153730C"/>
    <w:rsid w:val="518976D2"/>
    <w:rsid w:val="51976CD3"/>
    <w:rsid w:val="519B6066"/>
    <w:rsid w:val="51B15B29"/>
    <w:rsid w:val="51C476DD"/>
    <w:rsid w:val="51E64DE7"/>
    <w:rsid w:val="51F61456"/>
    <w:rsid w:val="521F23B3"/>
    <w:rsid w:val="522E39CA"/>
    <w:rsid w:val="523C3645"/>
    <w:rsid w:val="5266383D"/>
    <w:rsid w:val="52825DB2"/>
    <w:rsid w:val="52952D55"/>
    <w:rsid w:val="529C40E3"/>
    <w:rsid w:val="52AF2B57"/>
    <w:rsid w:val="52C13312"/>
    <w:rsid w:val="52DF780A"/>
    <w:rsid w:val="52E22421"/>
    <w:rsid w:val="52EC1416"/>
    <w:rsid w:val="52F410A8"/>
    <w:rsid w:val="531351F7"/>
    <w:rsid w:val="532E1FE6"/>
    <w:rsid w:val="53393E92"/>
    <w:rsid w:val="533D688F"/>
    <w:rsid w:val="537C2E7E"/>
    <w:rsid w:val="5381551F"/>
    <w:rsid w:val="53913A44"/>
    <w:rsid w:val="5395134A"/>
    <w:rsid w:val="53B84F4D"/>
    <w:rsid w:val="53C3157B"/>
    <w:rsid w:val="53C909CA"/>
    <w:rsid w:val="53E556EE"/>
    <w:rsid w:val="53F10DC5"/>
    <w:rsid w:val="53FF440B"/>
    <w:rsid w:val="54085ED4"/>
    <w:rsid w:val="543478D1"/>
    <w:rsid w:val="545309D2"/>
    <w:rsid w:val="54612146"/>
    <w:rsid w:val="547846DC"/>
    <w:rsid w:val="548D0188"/>
    <w:rsid w:val="549A4653"/>
    <w:rsid w:val="549C6689"/>
    <w:rsid w:val="549F7F1C"/>
    <w:rsid w:val="54AE49FC"/>
    <w:rsid w:val="54B60B9E"/>
    <w:rsid w:val="54B85A54"/>
    <w:rsid w:val="54BC5B15"/>
    <w:rsid w:val="54CC295A"/>
    <w:rsid w:val="54EC6A5F"/>
    <w:rsid w:val="54F75836"/>
    <w:rsid w:val="550C799B"/>
    <w:rsid w:val="55115E79"/>
    <w:rsid w:val="55287EB0"/>
    <w:rsid w:val="55434677"/>
    <w:rsid w:val="55656E66"/>
    <w:rsid w:val="5577167F"/>
    <w:rsid w:val="55AA3F7D"/>
    <w:rsid w:val="55D3031E"/>
    <w:rsid w:val="55E94461"/>
    <w:rsid w:val="55F52F47"/>
    <w:rsid w:val="55F57BAE"/>
    <w:rsid w:val="560C5489"/>
    <w:rsid w:val="560D1867"/>
    <w:rsid w:val="56324B78"/>
    <w:rsid w:val="563A7E9B"/>
    <w:rsid w:val="564B654C"/>
    <w:rsid w:val="566B09FA"/>
    <w:rsid w:val="56885586"/>
    <w:rsid w:val="5697709C"/>
    <w:rsid w:val="569A2B36"/>
    <w:rsid w:val="56AF0889"/>
    <w:rsid w:val="56B126DD"/>
    <w:rsid w:val="56DA628A"/>
    <w:rsid w:val="56EB3E63"/>
    <w:rsid w:val="56EE2D2C"/>
    <w:rsid w:val="56EF4625"/>
    <w:rsid w:val="56F269C8"/>
    <w:rsid w:val="56F87BB2"/>
    <w:rsid w:val="5700678B"/>
    <w:rsid w:val="57213C87"/>
    <w:rsid w:val="57545F54"/>
    <w:rsid w:val="57A624DB"/>
    <w:rsid w:val="57AE4348"/>
    <w:rsid w:val="57D1482F"/>
    <w:rsid w:val="57D24D23"/>
    <w:rsid w:val="57E175D7"/>
    <w:rsid w:val="57EE4CC3"/>
    <w:rsid w:val="57EF38A0"/>
    <w:rsid w:val="58064CF4"/>
    <w:rsid w:val="58113055"/>
    <w:rsid w:val="581705EF"/>
    <w:rsid w:val="5822405A"/>
    <w:rsid w:val="58350137"/>
    <w:rsid w:val="58501BF8"/>
    <w:rsid w:val="587727F2"/>
    <w:rsid w:val="58DA3BB7"/>
    <w:rsid w:val="58E66830"/>
    <w:rsid w:val="58E92BFB"/>
    <w:rsid w:val="59034EBC"/>
    <w:rsid w:val="593A3D77"/>
    <w:rsid w:val="59643735"/>
    <w:rsid w:val="597204CD"/>
    <w:rsid w:val="597C66D3"/>
    <w:rsid w:val="59972C8B"/>
    <w:rsid w:val="59BD09F0"/>
    <w:rsid w:val="59D03107"/>
    <w:rsid w:val="59D223DF"/>
    <w:rsid w:val="59D81CCC"/>
    <w:rsid w:val="59E8782F"/>
    <w:rsid w:val="5A0341DB"/>
    <w:rsid w:val="5A1C750B"/>
    <w:rsid w:val="5A3046DB"/>
    <w:rsid w:val="5A3A6A30"/>
    <w:rsid w:val="5A3E3CD2"/>
    <w:rsid w:val="5A51171B"/>
    <w:rsid w:val="5A535100"/>
    <w:rsid w:val="5A5C2CF4"/>
    <w:rsid w:val="5A6B69C0"/>
    <w:rsid w:val="5A6C0AF7"/>
    <w:rsid w:val="5A7B6CD4"/>
    <w:rsid w:val="5A8C70A5"/>
    <w:rsid w:val="5A8E2815"/>
    <w:rsid w:val="5A991F56"/>
    <w:rsid w:val="5A9A014C"/>
    <w:rsid w:val="5AAD3975"/>
    <w:rsid w:val="5AC87DD5"/>
    <w:rsid w:val="5AEA1BB4"/>
    <w:rsid w:val="5AF522F2"/>
    <w:rsid w:val="5AFF25E0"/>
    <w:rsid w:val="5B13570C"/>
    <w:rsid w:val="5B1C2265"/>
    <w:rsid w:val="5B6463C7"/>
    <w:rsid w:val="5B6B6D49"/>
    <w:rsid w:val="5B7106FF"/>
    <w:rsid w:val="5BAD5674"/>
    <w:rsid w:val="5BBE331C"/>
    <w:rsid w:val="5BC64D2B"/>
    <w:rsid w:val="5C1218E5"/>
    <w:rsid w:val="5C301E06"/>
    <w:rsid w:val="5C313AEE"/>
    <w:rsid w:val="5C554C52"/>
    <w:rsid w:val="5C63523E"/>
    <w:rsid w:val="5CB4315F"/>
    <w:rsid w:val="5CCD4D38"/>
    <w:rsid w:val="5D015447"/>
    <w:rsid w:val="5D032927"/>
    <w:rsid w:val="5D094A6B"/>
    <w:rsid w:val="5D155E03"/>
    <w:rsid w:val="5D2A7845"/>
    <w:rsid w:val="5D980C1C"/>
    <w:rsid w:val="5D9B3795"/>
    <w:rsid w:val="5DCF0D76"/>
    <w:rsid w:val="5E18345C"/>
    <w:rsid w:val="5E232E56"/>
    <w:rsid w:val="5E317890"/>
    <w:rsid w:val="5E336B8B"/>
    <w:rsid w:val="5E472631"/>
    <w:rsid w:val="5E7C4328"/>
    <w:rsid w:val="5E8343A9"/>
    <w:rsid w:val="5EA960E8"/>
    <w:rsid w:val="5EC65392"/>
    <w:rsid w:val="5EDA046D"/>
    <w:rsid w:val="5EFB7BC5"/>
    <w:rsid w:val="5EFC04E3"/>
    <w:rsid w:val="5EFF2840"/>
    <w:rsid w:val="5F0B7029"/>
    <w:rsid w:val="5F2402B1"/>
    <w:rsid w:val="5F284A13"/>
    <w:rsid w:val="5F610C29"/>
    <w:rsid w:val="5F743F2F"/>
    <w:rsid w:val="5FAA6092"/>
    <w:rsid w:val="5FAD4A84"/>
    <w:rsid w:val="5FC84D97"/>
    <w:rsid w:val="5FDFE410"/>
    <w:rsid w:val="5FE00931"/>
    <w:rsid w:val="5FE01AB3"/>
    <w:rsid w:val="5FE7460D"/>
    <w:rsid w:val="5FE97DAA"/>
    <w:rsid w:val="5FEB66AA"/>
    <w:rsid w:val="5FF217E7"/>
    <w:rsid w:val="603433BD"/>
    <w:rsid w:val="60350F28"/>
    <w:rsid w:val="604A3672"/>
    <w:rsid w:val="60565291"/>
    <w:rsid w:val="60850903"/>
    <w:rsid w:val="60A8479B"/>
    <w:rsid w:val="60AF3D9F"/>
    <w:rsid w:val="60DE56BB"/>
    <w:rsid w:val="60E6759D"/>
    <w:rsid w:val="60F22BA1"/>
    <w:rsid w:val="60FB7DAB"/>
    <w:rsid w:val="61055308"/>
    <w:rsid w:val="610B6170"/>
    <w:rsid w:val="61391FB4"/>
    <w:rsid w:val="61433C21"/>
    <w:rsid w:val="614A40EA"/>
    <w:rsid w:val="61555581"/>
    <w:rsid w:val="616768DD"/>
    <w:rsid w:val="616E53A2"/>
    <w:rsid w:val="61880654"/>
    <w:rsid w:val="61A624C4"/>
    <w:rsid w:val="61B34EBD"/>
    <w:rsid w:val="61DD4800"/>
    <w:rsid w:val="621028EA"/>
    <w:rsid w:val="623C6109"/>
    <w:rsid w:val="624B464C"/>
    <w:rsid w:val="62610F56"/>
    <w:rsid w:val="62BC7D02"/>
    <w:rsid w:val="62C32E18"/>
    <w:rsid w:val="62F81FED"/>
    <w:rsid w:val="6301344D"/>
    <w:rsid w:val="6312641A"/>
    <w:rsid w:val="63362299"/>
    <w:rsid w:val="633D5970"/>
    <w:rsid w:val="63512CC8"/>
    <w:rsid w:val="63513002"/>
    <w:rsid w:val="638210D3"/>
    <w:rsid w:val="63822E81"/>
    <w:rsid w:val="63860E8D"/>
    <w:rsid w:val="63924AD6"/>
    <w:rsid w:val="63AA6E92"/>
    <w:rsid w:val="63B2651C"/>
    <w:rsid w:val="63D92960"/>
    <w:rsid w:val="63DA4095"/>
    <w:rsid w:val="6417108D"/>
    <w:rsid w:val="641B5E1B"/>
    <w:rsid w:val="645E38EF"/>
    <w:rsid w:val="6463123F"/>
    <w:rsid w:val="64831EB6"/>
    <w:rsid w:val="64B75D94"/>
    <w:rsid w:val="64C024DC"/>
    <w:rsid w:val="64C85A75"/>
    <w:rsid w:val="64D176CB"/>
    <w:rsid w:val="64D95F27"/>
    <w:rsid w:val="64FE7903"/>
    <w:rsid w:val="651129BB"/>
    <w:rsid w:val="65222B6E"/>
    <w:rsid w:val="653943C2"/>
    <w:rsid w:val="656815B9"/>
    <w:rsid w:val="65794512"/>
    <w:rsid w:val="65952CA6"/>
    <w:rsid w:val="65C23A09"/>
    <w:rsid w:val="65DD748A"/>
    <w:rsid w:val="65E068A7"/>
    <w:rsid w:val="662118C9"/>
    <w:rsid w:val="664A6540"/>
    <w:rsid w:val="665761F7"/>
    <w:rsid w:val="667C6015"/>
    <w:rsid w:val="66CE3F70"/>
    <w:rsid w:val="66F548E4"/>
    <w:rsid w:val="67065A02"/>
    <w:rsid w:val="670D0CB5"/>
    <w:rsid w:val="673A3676"/>
    <w:rsid w:val="67406157"/>
    <w:rsid w:val="674C6704"/>
    <w:rsid w:val="67560396"/>
    <w:rsid w:val="675A50FC"/>
    <w:rsid w:val="67650AF0"/>
    <w:rsid w:val="67807583"/>
    <w:rsid w:val="6798119F"/>
    <w:rsid w:val="67B00FA4"/>
    <w:rsid w:val="67BE94BC"/>
    <w:rsid w:val="67F74F4F"/>
    <w:rsid w:val="68190258"/>
    <w:rsid w:val="681C6DDC"/>
    <w:rsid w:val="682265E2"/>
    <w:rsid w:val="683E4D93"/>
    <w:rsid w:val="68437E5B"/>
    <w:rsid w:val="68486DD8"/>
    <w:rsid w:val="68685845"/>
    <w:rsid w:val="687023AD"/>
    <w:rsid w:val="68813E00"/>
    <w:rsid w:val="68AA5354"/>
    <w:rsid w:val="68AB6CFB"/>
    <w:rsid w:val="68C74FE5"/>
    <w:rsid w:val="68D47AF5"/>
    <w:rsid w:val="691704B0"/>
    <w:rsid w:val="691B0000"/>
    <w:rsid w:val="69205385"/>
    <w:rsid w:val="692F7608"/>
    <w:rsid w:val="693C4541"/>
    <w:rsid w:val="694A2840"/>
    <w:rsid w:val="696B7AE0"/>
    <w:rsid w:val="69842EAC"/>
    <w:rsid w:val="698D62EB"/>
    <w:rsid w:val="69BA223C"/>
    <w:rsid w:val="6A0119C3"/>
    <w:rsid w:val="6A2F5D91"/>
    <w:rsid w:val="6A3020ED"/>
    <w:rsid w:val="6A36358B"/>
    <w:rsid w:val="6A7C0301"/>
    <w:rsid w:val="6AC517EB"/>
    <w:rsid w:val="6AC935C4"/>
    <w:rsid w:val="6AE130E3"/>
    <w:rsid w:val="6AF2121F"/>
    <w:rsid w:val="6B584291"/>
    <w:rsid w:val="6B63611A"/>
    <w:rsid w:val="6B894E15"/>
    <w:rsid w:val="6BA916AA"/>
    <w:rsid w:val="6BB855A0"/>
    <w:rsid w:val="6BE96E14"/>
    <w:rsid w:val="6BF78CB9"/>
    <w:rsid w:val="6C104DCF"/>
    <w:rsid w:val="6C1B596B"/>
    <w:rsid w:val="6C2F77DB"/>
    <w:rsid w:val="6C303DC2"/>
    <w:rsid w:val="6C643878"/>
    <w:rsid w:val="6C757D03"/>
    <w:rsid w:val="6C7D608C"/>
    <w:rsid w:val="6CA50599"/>
    <w:rsid w:val="6CB82BA5"/>
    <w:rsid w:val="6CC85CB8"/>
    <w:rsid w:val="6CD56718"/>
    <w:rsid w:val="6CF43042"/>
    <w:rsid w:val="6D060AF2"/>
    <w:rsid w:val="6D23209D"/>
    <w:rsid w:val="6D3336FD"/>
    <w:rsid w:val="6D353DDB"/>
    <w:rsid w:val="6D430295"/>
    <w:rsid w:val="6D507DB5"/>
    <w:rsid w:val="6D513FF0"/>
    <w:rsid w:val="6D584E5E"/>
    <w:rsid w:val="6D5E78A1"/>
    <w:rsid w:val="6D6C7F13"/>
    <w:rsid w:val="6D725D15"/>
    <w:rsid w:val="6D804EE1"/>
    <w:rsid w:val="6D811639"/>
    <w:rsid w:val="6D9C04C0"/>
    <w:rsid w:val="6DAA3701"/>
    <w:rsid w:val="6DCD1BED"/>
    <w:rsid w:val="6E033B42"/>
    <w:rsid w:val="6E3B4622"/>
    <w:rsid w:val="6E505F87"/>
    <w:rsid w:val="6E6A33E9"/>
    <w:rsid w:val="6E74440E"/>
    <w:rsid w:val="6E847214"/>
    <w:rsid w:val="6E8E565B"/>
    <w:rsid w:val="6E9D1986"/>
    <w:rsid w:val="6EC46E52"/>
    <w:rsid w:val="6EE9679B"/>
    <w:rsid w:val="6F086931"/>
    <w:rsid w:val="6F171269"/>
    <w:rsid w:val="6F174CC1"/>
    <w:rsid w:val="6F3E67F6"/>
    <w:rsid w:val="6F561763"/>
    <w:rsid w:val="6F593630"/>
    <w:rsid w:val="6F8D30D8"/>
    <w:rsid w:val="6F913909"/>
    <w:rsid w:val="6F987120"/>
    <w:rsid w:val="6FC6645F"/>
    <w:rsid w:val="6FDB6707"/>
    <w:rsid w:val="6FDC3362"/>
    <w:rsid w:val="6FEF2BB1"/>
    <w:rsid w:val="702A6D7B"/>
    <w:rsid w:val="702B0E22"/>
    <w:rsid w:val="704503CB"/>
    <w:rsid w:val="704B4560"/>
    <w:rsid w:val="70697B15"/>
    <w:rsid w:val="707149AA"/>
    <w:rsid w:val="70817105"/>
    <w:rsid w:val="70951EB1"/>
    <w:rsid w:val="709C35CE"/>
    <w:rsid w:val="70A128B3"/>
    <w:rsid w:val="70A1703D"/>
    <w:rsid w:val="70B30B1E"/>
    <w:rsid w:val="70D728BC"/>
    <w:rsid w:val="710F044A"/>
    <w:rsid w:val="7125212D"/>
    <w:rsid w:val="71286954"/>
    <w:rsid w:val="71297032"/>
    <w:rsid w:val="71404FF0"/>
    <w:rsid w:val="71453614"/>
    <w:rsid w:val="7150636D"/>
    <w:rsid w:val="71573D01"/>
    <w:rsid w:val="71592386"/>
    <w:rsid w:val="715952EE"/>
    <w:rsid w:val="71872B6B"/>
    <w:rsid w:val="71882F2E"/>
    <w:rsid w:val="718B10FA"/>
    <w:rsid w:val="71C33125"/>
    <w:rsid w:val="71C411E8"/>
    <w:rsid w:val="71E847F7"/>
    <w:rsid w:val="720979F9"/>
    <w:rsid w:val="720B620B"/>
    <w:rsid w:val="721E46BD"/>
    <w:rsid w:val="72216C4D"/>
    <w:rsid w:val="722851A2"/>
    <w:rsid w:val="724F2AC9"/>
    <w:rsid w:val="727D7636"/>
    <w:rsid w:val="72AB41A3"/>
    <w:rsid w:val="72CA35A0"/>
    <w:rsid w:val="72CF1364"/>
    <w:rsid w:val="72D16002"/>
    <w:rsid w:val="72EB0A43"/>
    <w:rsid w:val="73315A60"/>
    <w:rsid w:val="7362505B"/>
    <w:rsid w:val="73DB6265"/>
    <w:rsid w:val="73DF2D98"/>
    <w:rsid w:val="73F109E5"/>
    <w:rsid w:val="744F3F1F"/>
    <w:rsid w:val="74684F3B"/>
    <w:rsid w:val="74687E72"/>
    <w:rsid w:val="746B2FD5"/>
    <w:rsid w:val="7476304A"/>
    <w:rsid w:val="74A213EB"/>
    <w:rsid w:val="74A23AD9"/>
    <w:rsid w:val="74D83951"/>
    <w:rsid w:val="74E5396C"/>
    <w:rsid w:val="750E0AAE"/>
    <w:rsid w:val="751207AB"/>
    <w:rsid w:val="7559153E"/>
    <w:rsid w:val="756B1122"/>
    <w:rsid w:val="75775309"/>
    <w:rsid w:val="759323CD"/>
    <w:rsid w:val="759A5F7F"/>
    <w:rsid w:val="75D528E1"/>
    <w:rsid w:val="75E64D79"/>
    <w:rsid w:val="75F07B9E"/>
    <w:rsid w:val="7614229E"/>
    <w:rsid w:val="76494F61"/>
    <w:rsid w:val="766C1E28"/>
    <w:rsid w:val="76726CA6"/>
    <w:rsid w:val="769D02A6"/>
    <w:rsid w:val="76B807A0"/>
    <w:rsid w:val="76E67512"/>
    <w:rsid w:val="76FE6B16"/>
    <w:rsid w:val="775B32C9"/>
    <w:rsid w:val="776377C3"/>
    <w:rsid w:val="77756362"/>
    <w:rsid w:val="777FE730"/>
    <w:rsid w:val="779C7DF7"/>
    <w:rsid w:val="77A43A56"/>
    <w:rsid w:val="77A92C7B"/>
    <w:rsid w:val="77AF2011"/>
    <w:rsid w:val="77B5517C"/>
    <w:rsid w:val="77D92540"/>
    <w:rsid w:val="77DA0236"/>
    <w:rsid w:val="77E522C1"/>
    <w:rsid w:val="77ED69DD"/>
    <w:rsid w:val="77F90F61"/>
    <w:rsid w:val="78014865"/>
    <w:rsid w:val="781F42B3"/>
    <w:rsid w:val="783C5064"/>
    <w:rsid w:val="7843495B"/>
    <w:rsid w:val="78630991"/>
    <w:rsid w:val="786D633C"/>
    <w:rsid w:val="78804A5A"/>
    <w:rsid w:val="788A279B"/>
    <w:rsid w:val="789C5E02"/>
    <w:rsid w:val="789C6986"/>
    <w:rsid w:val="78A53107"/>
    <w:rsid w:val="78CA7293"/>
    <w:rsid w:val="78E25D97"/>
    <w:rsid w:val="78F86E75"/>
    <w:rsid w:val="78FF76F5"/>
    <w:rsid w:val="79027C98"/>
    <w:rsid w:val="790B5CF7"/>
    <w:rsid w:val="79132D7C"/>
    <w:rsid w:val="795409C4"/>
    <w:rsid w:val="795645C4"/>
    <w:rsid w:val="79802062"/>
    <w:rsid w:val="79AF2BB1"/>
    <w:rsid w:val="79B96193"/>
    <w:rsid w:val="79E17BAC"/>
    <w:rsid w:val="79E97308"/>
    <w:rsid w:val="79F6E8B2"/>
    <w:rsid w:val="7A1A2231"/>
    <w:rsid w:val="7A460C55"/>
    <w:rsid w:val="7A580FFD"/>
    <w:rsid w:val="7A71598F"/>
    <w:rsid w:val="7A936BBE"/>
    <w:rsid w:val="7AA5597C"/>
    <w:rsid w:val="7AAD5595"/>
    <w:rsid w:val="7AAF5FD7"/>
    <w:rsid w:val="7AB21E46"/>
    <w:rsid w:val="7AE86416"/>
    <w:rsid w:val="7AF52FBD"/>
    <w:rsid w:val="7AFA0F30"/>
    <w:rsid w:val="7B101CDA"/>
    <w:rsid w:val="7B244F03"/>
    <w:rsid w:val="7B2D0269"/>
    <w:rsid w:val="7B3D0965"/>
    <w:rsid w:val="7B3E1AC5"/>
    <w:rsid w:val="7B3F14E6"/>
    <w:rsid w:val="7B521A35"/>
    <w:rsid w:val="7B564EC8"/>
    <w:rsid w:val="7B830A97"/>
    <w:rsid w:val="7B8900AD"/>
    <w:rsid w:val="7BE343FF"/>
    <w:rsid w:val="7BE53CE6"/>
    <w:rsid w:val="7BF9515D"/>
    <w:rsid w:val="7C126419"/>
    <w:rsid w:val="7C132E51"/>
    <w:rsid w:val="7C2F09E5"/>
    <w:rsid w:val="7C330E98"/>
    <w:rsid w:val="7C4D0079"/>
    <w:rsid w:val="7C516DA3"/>
    <w:rsid w:val="7C523627"/>
    <w:rsid w:val="7C567E41"/>
    <w:rsid w:val="7C9B6CDE"/>
    <w:rsid w:val="7CB55896"/>
    <w:rsid w:val="7CC965BB"/>
    <w:rsid w:val="7CFD3C4F"/>
    <w:rsid w:val="7D0074D8"/>
    <w:rsid w:val="7D100648"/>
    <w:rsid w:val="7D1652C0"/>
    <w:rsid w:val="7D242972"/>
    <w:rsid w:val="7D4B47DB"/>
    <w:rsid w:val="7D536120"/>
    <w:rsid w:val="7D5B21A0"/>
    <w:rsid w:val="7D5D23BD"/>
    <w:rsid w:val="7D6E721F"/>
    <w:rsid w:val="7D7E01AB"/>
    <w:rsid w:val="7DA57A41"/>
    <w:rsid w:val="7DA90593"/>
    <w:rsid w:val="7DAB08DE"/>
    <w:rsid w:val="7DBE064F"/>
    <w:rsid w:val="7DBE6FDF"/>
    <w:rsid w:val="7DDD095E"/>
    <w:rsid w:val="7DE14013"/>
    <w:rsid w:val="7E1D0127"/>
    <w:rsid w:val="7E2B626A"/>
    <w:rsid w:val="7E32537E"/>
    <w:rsid w:val="7E3E1001"/>
    <w:rsid w:val="7E4543B7"/>
    <w:rsid w:val="7E590F57"/>
    <w:rsid w:val="7E6A1687"/>
    <w:rsid w:val="7E715FD1"/>
    <w:rsid w:val="7EA21BD3"/>
    <w:rsid w:val="7EA3332A"/>
    <w:rsid w:val="7ECA57CE"/>
    <w:rsid w:val="7ECD36FC"/>
    <w:rsid w:val="7EDD3C39"/>
    <w:rsid w:val="7EF770CE"/>
    <w:rsid w:val="7EFA225C"/>
    <w:rsid w:val="7EFF338C"/>
    <w:rsid w:val="7F531E4A"/>
    <w:rsid w:val="7F8D0BFF"/>
    <w:rsid w:val="7F952C72"/>
    <w:rsid w:val="7FA15385"/>
    <w:rsid w:val="7FCD0EBD"/>
    <w:rsid w:val="7FD63C4E"/>
    <w:rsid w:val="7FFE5E09"/>
    <w:rsid w:val="7FFF84F5"/>
    <w:rsid w:val="A757ED5A"/>
    <w:rsid w:val="B7F7DEB1"/>
    <w:rsid w:val="BB73B4A3"/>
    <w:rsid w:val="BEBF95BE"/>
    <w:rsid w:val="BEF7AAC1"/>
    <w:rsid w:val="CF3CF861"/>
    <w:rsid w:val="CF7E8353"/>
    <w:rsid w:val="D35B462C"/>
    <w:rsid w:val="D771F771"/>
    <w:rsid w:val="DF3CF30F"/>
    <w:rsid w:val="DFB79874"/>
    <w:rsid w:val="DFFF0BF8"/>
    <w:rsid w:val="E77A55DE"/>
    <w:rsid w:val="E94F840D"/>
    <w:rsid w:val="EBFFB10A"/>
    <w:rsid w:val="EE3F9F4B"/>
    <w:rsid w:val="EFC85647"/>
    <w:rsid w:val="EFEFBC12"/>
    <w:rsid w:val="F7FB981A"/>
    <w:rsid w:val="F96DB2F3"/>
    <w:rsid w:val="F9FDBA82"/>
    <w:rsid w:val="F9FFBB9C"/>
    <w:rsid w:val="FC5F4283"/>
    <w:rsid w:val="FD65483A"/>
    <w:rsid w:val="FF595166"/>
    <w:rsid w:val="FF773327"/>
    <w:rsid w:val="FF7B821E"/>
    <w:rsid w:val="FFED429E"/>
    <w:rsid w:val="FFF30113"/>
    <w:rsid w:val="FFFFBE6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qFormat="1" w:unhideWhenUsed="0" w:uiPriority="0"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4"/>
    <w:qFormat/>
    <w:uiPriority w:val="0"/>
    <w:pPr>
      <w:keepNext/>
      <w:widowControl/>
      <w:numPr>
        <w:ilvl w:val="0"/>
        <w:numId w:val="1"/>
      </w:numPr>
      <w:spacing w:before="240" w:after="120"/>
      <w:jc w:val="left"/>
      <w:outlineLvl w:val="0"/>
    </w:pPr>
    <w:rPr>
      <w:b/>
      <w:caps/>
      <w:kern w:val="28"/>
      <w:sz w:val="24"/>
      <w:szCs w:val="20"/>
    </w:rPr>
  </w:style>
  <w:style w:type="paragraph" w:styleId="5">
    <w:name w:val="heading 2"/>
    <w:basedOn w:val="1"/>
    <w:next w:val="4"/>
    <w:unhideWhenUsed/>
    <w:qFormat/>
    <w:uiPriority w:val="9"/>
    <w:pPr>
      <w:keepNext/>
      <w:keepLines/>
      <w:spacing w:line="413" w:lineRule="auto"/>
      <w:outlineLvl w:val="1"/>
    </w:pPr>
    <w:rPr>
      <w:rFonts w:ascii="Arial" w:hAnsi="Arial" w:eastAsia="黑体"/>
      <w:b/>
      <w:sz w:val="32"/>
    </w:rPr>
  </w:style>
  <w:style w:type="paragraph" w:styleId="6">
    <w:name w:val="heading 3"/>
    <w:basedOn w:val="1"/>
    <w:next w:val="1"/>
    <w:unhideWhenUsed/>
    <w:qFormat/>
    <w:uiPriority w:val="9"/>
    <w:pPr>
      <w:keepNext/>
      <w:keepLines/>
      <w:spacing w:line="413" w:lineRule="auto"/>
      <w:outlineLvl w:val="2"/>
    </w:pPr>
    <w:rPr>
      <w:b/>
      <w:sz w:val="3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4">
    <w:name w:val="Body Text"/>
    <w:basedOn w:val="1"/>
    <w:qFormat/>
    <w:uiPriority w:val="0"/>
    <w:rPr>
      <w:rFonts w:ascii="仿宋_GB2312" w:eastAsia="仿宋_GB2312"/>
      <w:sz w:val="28"/>
    </w:rPr>
  </w:style>
  <w:style w:type="paragraph" w:styleId="7">
    <w:name w:val="table of authorities"/>
    <w:basedOn w:val="1"/>
    <w:next w:val="1"/>
    <w:qFormat/>
    <w:uiPriority w:val="0"/>
    <w:pPr>
      <w:ind w:left="420" w:leftChars="200"/>
    </w:pPr>
    <w:rPr>
      <w:szCs w:val="21"/>
    </w:rPr>
  </w:style>
  <w:style w:type="paragraph" w:styleId="8">
    <w:name w:val="caption"/>
    <w:basedOn w:val="1"/>
    <w:next w:val="1"/>
    <w:semiHidden/>
    <w:unhideWhenUsed/>
    <w:qFormat/>
    <w:uiPriority w:val="35"/>
    <w:rPr>
      <w:rFonts w:ascii="Arial" w:hAnsi="Arial" w:eastAsia="黑体"/>
      <w:sz w:val="20"/>
    </w:rPr>
  </w:style>
  <w:style w:type="paragraph" w:styleId="9">
    <w:name w:val="annotation text"/>
    <w:basedOn w:val="1"/>
    <w:semiHidden/>
    <w:unhideWhenUsed/>
    <w:qFormat/>
    <w:uiPriority w:val="99"/>
    <w:pPr>
      <w:jc w:val="left"/>
    </w:pPr>
  </w:style>
  <w:style w:type="paragraph" w:styleId="10">
    <w:name w:val="Balloon Text"/>
    <w:basedOn w:val="1"/>
    <w:link w:val="30"/>
    <w:semiHidden/>
    <w:unhideWhenUsed/>
    <w:qFormat/>
    <w:uiPriority w:val="99"/>
    <w:rPr>
      <w:sz w:val="18"/>
      <w:szCs w:val="18"/>
    </w:rPr>
  </w:style>
  <w:style w:type="paragraph" w:styleId="11">
    <w:name w:val="footer"/>
    <w:basedOn w:val="1"/>
    <w:link w:val="26"/>
    <w:unhideWhenUsed/>
    <w:qFormat/>
    <w:uiPriority w:val="99"/>
    <w:pPr>
      <w:tabs>
        <w:tab w:val="center" w:pos="4153"/>
        <w:tab w:val="right" w:pos="8306"/>
      </w:tabs>
      <w:snapToGrid w:val="0"/>
      <w:jc w:val="left"/>
    </w:pPr>
    <w:rPr>
      <w:sz w:val="18"/>
      <w:szCs w:val="18"/>
    </w:rPr>
  </w:style>
  <w:style w:type="paragraph" w:styleId="12">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Subtitle"/>
    <w:basedOn w:val="1"/>
    <w:next w:val="1"/>
    <w:link w:val="23"/>
    <w:qFormat/>
    <w:uiPriority w:val="11"/>
    <w:pPr>
      <w:spacing w:before="240" w:after="60" w:line="312" w:lineRule="auto"/>
      <w:jc w:val="center"/>
      <w:outlineLvl w:val="1"/>
    </w:pPr>
    <w:rPr>
      <w:rFonts w:asciiTheme="majorHAnsi" w:hAnsiTheme="majorHAnsi" w:cstheme="majorBidi"/>
      <w:b/>
      <w:bCs/>
      <w:kern w:val="28"/>
      <w:sz w:val="32"/>
      <w:szCs w:val="32"/>
    </w:rPr>
  </w:style>
  <w:style w:type="paragraph" w:styleId="14">
    <w:name w:val="Normal (Web)"/>
    <w:basedOn w:val="1"/>
    <w:semiHidden/>
    <w:unhideWhenUsed/>
    <w:qFormat/>
    <w:uiPriority w:val="99"/>
    <w:pPr>
      <w:spacing w:beforeAutospacing="1" w:afterAutospacing="1"/>
      <w:jc w:val="left"/>
    </w:pPr>
    <w:rPr>
      <w:kern w:val="0"/>
      <w:sz w:val="24"/>
    </w:rPr>
  </w:style>
  <w:style w:type="paragraph" w:styleId="15">
    <w:name w:val="Title"/>
    <w:basedOn w:val="1"/>
    <w:next w:val="1"/>
    <w:link w:val="22"/>
    <w:qFormat/>
    <w:uiPriority w:val="10"/>
    <w:pPr>
      <w:spacing w:before="240" w:after="60"/>
      <w:jc w:val="center"/>
      <w:outlineLvl w:val="0"/>
    </w:pPr>
    <w:rPr>
      <w:rFonts w:asciiTheme="majorHAnsi" w:hAnsiTheme="majorHAnsi" w:cstheme="majorBidi"/>
      <w:b/>
      <w:bCs/>
      <w:sz w:val="32"/>
      <w:szCs w:val="32"/>
    </w:rPr>
  </w:style>
  <w:style w:type="paragraph" w:styleId="16">
    <w:name w:val="Body Text First Indent"/>
    <w:basedOn w:val="4"/>
    <w:qFormat/>
    <w:uiPriority w:val="0"/>
    <w:pPr>
      <w:ind w:firstLine="420" w:firstLineChars="100"/>
    </w:pPr>
    <w:rPr>
      <w:rFonts w:ascii="Times New Roman" w:eastAsia="宋体"/>
      <w:sz w:val="21"/>
    </w:rPr>
  </w:style>
  <w:style w:type="character" w:styleId="19">
    <w:name w:val="annotation reference"/>
    <w:basedOn w:val="18"/>
    <w:semiHidden/>
    <w:unhideWhenUsed/>
    <w:qFormat/>
    <w:uiPriority w:val="99"/>
    <w:rPr>
      <w:sz w:val="21"/>
      <w:szCs w:val="21"/>
    </w:rPr>
  </w:style>
  <w:style w:type="character" w:customStyle="1" w:styleId="20">
    <w:name w:val="列表编号 2A Char Char"/>
    <w:link w:val="21"/>
    <w:qFormat/>
    <w:uiPriority w:val="0"/>
    <w:rPr>
      <w:sz w:val="28"/>
    </w:rPr>
  </w:style>
  <w:style w:type="paragraph" w:customStyle="1" w:styleId="21">
    <w:name w:val="列表编号 2A"/>
    <w:basedOn w:val="1"/>
    <w:link w:val="20"/>
    <w:qFormat/>
    <w:uiPriority w:val="0"/>
    <w:pPr>
      <w:tabs>
        <w:tab w:val="left" w:pos="845"/>
      </w:tabs>
    </w:pPr>
    <w:rPr>
      <w:rFonts w:asciiTheme="minorHAnsi" w:hAnsiTheme="minorHAnsi" w:eastAsiaTheme="minorEastAsia" w:cstheme="minorBidi"/>
      <w:sz w:val="28"/>
      <w:szCs w:val="22"/>
    </w:rPr>
  </w:style>
  <w:style w:type="character" w:customStyle="1" w:styleId="22">
    <w:name w:val="标题 Char"/>
    <w:basedOn w:val="18"/>
    <w:link w:val="15"/>
    <w:qFormat/>
    <w:uiPriority w:val="10"/>
    <w:rPr>
      <w:rFonts w:eastAsia="宋体" w:asciiTheme="majorHAnsi" w:hAnsiTheme="majorHAnsi" w:cstheme="majorBidi"/>
      <w:b/>
      <w:bCs/>
      <w:sz w:val="32"/>
      <w:szCs w:val="32"/>
    </w:rPr>
  </w:style>
  <w:style w:type="character" w:customStyle="1" w:styleId="23">
    <w:name w:val="副标题 Char"/>
    <w:basedOn w:val="18"/>
    <w:link w:val="13"/>
    <w:qFormat/>
    <w:uiPriority w:val="11"/>
    <w:rPr>
      <w:rFonts w:eastAsia="宋体" w:asciiTheme="majorHAnsi" w:hAnsiTheme="majorHAnsi" w:cstheme="majorBidi"/>
      <w:b/>
      <w:bCs/>
      <w:kern w:val="28"/>
      <w:sz w:val="32"/>
      <w:szCs w:val="32"/>
    </w:rPr>
  </w:style>
  <w:style w:type="paragraph" w:customStyle="1" w:styleId="24">
    <w:name w:val="列出段落1"/>
    <w:basedOn w:val="1"/>
    <w:link w:val="27"/>
    <w:qFormat/>
    <w:uiPriority w:val="34"/>
    <w:pPr>
      <w:ind w:firstLine="420" w:firstLineChars="200"/>
    </w:pPr>
  </w:style>
  <w:style w:type="character" w:customStyle="1" w:styleId="25">
    <w:name w:val="页眉 Char"/>
    <w:basedOn w:val="18"/>
    <w:link w:val="12"/>
    <w:qFormat/>
    <w:uiPriority w:val="99"/>
    <w:rPr>
      <w:rFonts w:ascii="Times New Roman" w:hAnsi="Times New Roman" w:eastAsia="宋体" w:cs="Times New Roman"/>
      <w:sz w:val="18"/>
      <w:szCs w:val="18"/>
    </w:rPr>
  </w:style>
  <w:style w:type="character" w:customStyle="1" w:styleId="26">
    <w:name w:val="页脚 Char"/>
    <w:basedOn w:val="18"/>
    <w:link w:val="11"/>
    <w:qFormat/>
    <w:uiPriority w:val="99"/>
    <w:rPr>
      <w:rFonts w:ascii="Times New Roman" w:hAnsi="Times New Roman" w:eastAsia="宋体" w:cs="Times New Roman"/>
      <w:sz w:val="18"/>
      <w:szCs w:val="18"/>
    </w:rPr>
  </w:style>
  <w:style w:type="character" w:customStyle="1" w:styleId="27">
    <w:name w:val="List Paragraph Char"/>
    <w:link w:val="24"/>
    <w:qFormat/>
    <w:uiPriority w:val="34"/>
  </w:style>
  <w:style w:type="paragraph" w:customStyle="1" w:styleId="28">
    <w:name w:val="彩色列表 - 着色 11"/>
    <w:basedOn w:val="1"/>
    <w:qFormat/>
    <w:uiPriority w:val="34"/>
    <w:pPr>
      <w:ind w:firstLine="420" w:firstLineChars="200"/>
    </w:pPr>
    <w:rPr>
      <w:rFonts w:ascii="Calibri" w:hAnsi="Calibri"/>
      <w:szCs w:val="22"/>
    </w:rPr>
  </w:style>
  <w:style w:type="paragraph" w:customStyle="1" w:styleId="29">
    <w:name w:val="彩色列表1"/>
    <w:basedOn w:val="1"/>
    <w:qFormat/>
    <w:uiPriority w:val="34"/>
    <w:pPr>
      <w:ind w:firstLine="420" w:firstLineChars="200"/>
    </w:pPr>
    <w:rPr>
      <w:rFonts w:ascii="Calibri" w:hAnsi="Calibri"/>
      <w:szCs w:val="22"/>
    </w:rPr>
  </w:style>
  <w:style w:type="character" w:customStyle="1" w:styleId="30">
    <w:name w:val="批注框文本 Char"/>
    <w:basedOn w:val="18"/>
    <w:link w:val="10"/>
    <w:semiHidden/>
    <w:qFormat/>
    <w:uiPriority w:val="99"/>
    <w:rPr>
      <w:kern w:val="2"/>
      <w:sz w:val="18"/>
      <w:szCs w:val="18"/>
    </w:rPr>
  </w:style>
  <w:style w:type="paragraph" w:styleId="31">
    <w:name w:val="List Paragraph"/>
    <w:basedOn w:val="1"/>
    <w:unhideWhenUsed/>
    <w:qFormat/>
    <w:uiPriority w:val="99"/>
    <w:pPr>
      <w:ind w:firstLine="420" w:firstLineChars="200"/>
    </w:pPr>
  </w:style>
  <w:style w:type="character" w:customStyle="1" w:styleId="32">
    <w:name w:val="font01"/>
    <w:basedOn w:val="18"/>
    <w:qFormat/>
    <w:uiPriority w:val="0"/>
    <w:rPr>
      <w:rFonts w:hint="eastAsia" w:ascii="宋体" w:hAnsi="宋体" w:eastAsia="宋体" w:cs="宋体"/>
      <w:color w:val="000000"/>
      <w:sz w:val="24"/>
      <w:szCs w:val="24"/>
      <w:u w:val="none"/>
    </w:rPr>
  </w:style>
  <w:style w:type="character" w:customStyle="1" w:styleId="33">
    <w:name w:val="font11"/>
    <w:basedOn w:val="18"/>
    <w:qFormat/>
    <w:uiPriority w:val="0"/>
    <w:rPr>
      <w:rFonts w:hint="eastAsia" w:ascii="宋体" w:hAnsi="宋体" w:eastAsia="宋体" w:cs="宋体"/>
      <w:color w:val="000000"/>
      <w:sz w:val="22"/>
      <w:szCs w:val="22"/>
      <w:u w:val="none"/>
    </w:rPr>
  </w:style>
  <w:style w:type="character" w:customStyle="1" w:styleId="34">
    <w:name w:val="font21"/>
    <w:basedOn w:val="18"/>
    <w:qFormat/>
    <w:uiPriority w:val="0"/>
    <w:rPr>
      <w:rFonts w:hint="eastAsia" w:ascii="宋体" w:hAnsi="宋体" w:eastAsia="宋体" w:cs="宋体"/>
      <w:color w:val="000000"/>
      <w:sz w:val="22"/>
      <w:szCs w:val="22"/>
      <w:u w:val="none"/>
    </w:rPr>
  </w:style>
  <w:style w:type="character" w:customStyle="1" w:styleId="35">
    <w:name w:val="font71"/>
    <w:basedOn w:val="18"/>
    <w:qFormat/>
    <w:uiPriority w:val="0"/>
    <w:rPr>
      <w:rFonts w:hint="eastAsia" w:ascii="宋体" w:hAnsi="宋体" w:eastAsia="宋体" w:cs="宋体"/>
      <w:color w:val="000000"/>
      <w:sz w:val="22"/>
      <w:szCs w:val="22"/>
      <w:u w:val="none"/>
    </w:rPr>
  </w:style>
  <w:style w:type="paragraph" w:customStyle="1" w:styleId="36">
    <w:name w:val="CM91"/>
    <w:basedOn w:val="1"/>
    <w:next w:val="1"/>
    <w:qFormat/>
    <w:uiPriority w:val="0"/>
    <w:pPr>
      <w:autoSpaceDE w:val="0"/>
      <w:autoSpaceDN w:val="0"/>
      <w:adjustRightInd w:val="0"/>
      <w:jc w:val="left"/>
    </w:pPr>
    <w:rPr>
      <w:rFonts w:ascii="宋体" w:cs="宋体"/>
      <w:kern w:val="0"/>
      <w:sz w:val="24"/>
    </w:rPr>
  </w:style>
  <w:style w:type="character" w:customStyle="1" w:styleId="37">
    <w:name w:val="10"/>
    <w:basedOn w:val="18"/>
    <w:qFormat/>
    <w:uiPriority w:val="0"/>
    <w:rPr>
      <w:rFonts w:hint="default" w:ascii="Times New Roman" w:hAnsi="Times New Roman" w:cs="Times New Roman"/>
    </w:rPr>
  </w:style>
  <w:style w:type="character" w:customStyle="1" w:styleId="38">
    <w:name w:val="15"/>
    <w:basedOn w:val="18"/>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20</Pages>
  <Words>21994</Words>
  <Characters>23345</Characters>
  <Lines>1</Lines>
  <Paragraphs>1</Paragraphs>
  <TotalTime>3</TotalTime>
  <ScaleCrop>false</ScaleCrop>
  <LinksUpToDate>false</LinksUpToDate>
  <CharactersWithSpaces>23367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2022-09-12T06:54:00Z</dcterms:created>
  <dc:creator>Microsoft 帐户</dc:creator>
  <cp:lastModifiedBy>WPS_1666896089</cp:lastModifiedBy>
  <cp:lastPrinted>2022-09-18T09:16:00Z</cp:lastPrinted>
  <dcterms:modified xsi:type="dcterms:W3CDTF">2023-10-25T14:03:31Z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983A94808D1C43F39C22A9F939E8B0E2</vt:lpwstr>
  </property>
</Properties>
</file>